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tj30o9ijyp3k" w:id="0"/>
      <w:bookmarkEnd w:id="0"/>
      <w:r w:rsidDel="00000000" w:rsidR="00000000" w:rsidRPr="00000000">
        <w:rPr>
          <w:rtl w:val="0"/>
        </w:rPr>
        <w:t xml:space="preserve">What does PROBUS Canada Do for its Clubs?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Manages compliance with Corporations Canada regulations and requirements for non-profit organizations.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Provides liability insurance coverage for members, directors, officers and volunteers plus optional access to Group Health/Travel insurance benefit plan and Home/Automobile insurance.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Retains and oversees three part-time contractors (General Manager, Financial Manager, and Webmaster) who manage PROBUS Canada’s routine operations.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Maintains national website where clubs can access information, resources, and support.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Engages in strategic planning for PROBUS Canada’s and clubs’ future success.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Markets and promotes Probus at the national level.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Trains Directors in concrete ways to support their District clubs.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Provides funds to support District Director visits to clubs and District meetings.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Offers interest-free short term loans to support the founding of new Probus clubs.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Supplies special certificates and awards.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Provides access to PROBUS Canada’s SurveyMonkey account for clubs to conduct their own membership surveys.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after="0"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"/>
      <w:tblW w:w="9400.0" w:type="dxa"/>
      <w:jc w:val="left"/>
      <w:tblLayout w:type="fixed"/>
      <w:tblLook w:val="0600"/>
    </w:tblPr>
    <w:tblGrid>
      <w:gridCol w:w="4700"/>
      <w:gridCol w:w="4700"/>
      <w:tblGridChange w:id="0">
        <w:tblGrid>
          <w:gridCol w:w="4700"/>
          <w:gridCol w:w="47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widowControl w:val="0"/>
            <w:spacing w:after="0" w:line="276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Club Reference Guide, Information and Resources</w:t>
          </w:r>
        </w:p>
      </w:tc>
      <w:tc>
        <w:tcPr>
          <w:shd w:fill="auto" w:val="clear"/>
          <w:tcMar>
            <w:top w:w="0.0" w:type="dxa"/>
            <w:left w:w="100.0" w:type="dxa"/>
            <w:bottom w:w="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widowControl w:val="0"/>
            <w:spacing w:after="0" w:line="276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What does PROBUS Canada Do for its Clubs?</w:t>
          </w:r>
        </w:p>
      </w:tc>
    </w:tr>
  </w:tbl>
  <w:p w:rsidR="00000000" w:rsidDel="00000000" w:rsidP="00000000" w:rsidRDefault="00000000" w:rsidRPr="00000000" w14:paraId="00000011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leader="none" w:pos="4680"/>
        <w:tab w:val="right" w:leader="none" w:pos="9360"/>
      </w:tabs>
      <w:rPr/>
    </w:pPr>
    <w:r w:rsidDel="00000000" w:rsidR="00000000" w:rsidRPr="00000000">
      <w:rPr>
        <w:sz w:val="20"/>
        <w:szCs w:val="20"/>
        <w:rtl w:val="0"/>
      </w:rPr>
      <w:t xml:space="preserve">April 2024</w:t>
      <w:tab/>
    </w:r>
    <w:r w:rsidDel="00000000" w:rsidR="00000000" w:rsidRPr="00000000">
      <w:rPr>
        <w:sz w:val="20"/>
        <w:szCs w:val="20"/>
      </w:rPr>
      <w:drawing>
        <wp:inline distB="19050" distT="19050" distL="19050" distR="19050">
          <wp:extent cx="1422400" cy="495300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24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ab/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0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