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Club Meeting Venue Considerations</w:t>
      </w:r>
    </w:p>
    <w:p w:rsidR="00000000" w:rsidDel="00000000" w:rsidP="00000000" w:rsidRDefault="00000000" w:rsidRPr="00000000" w14:paraId="00000002">
      <w:pPr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of the earliest decisions a club needs to make is where the regular meetings will take place.  Below are some of the considerations that need to be addressed: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15"/>
        <w:gridCol w:w="720"/>
        <w:gridCol w:w="715"/>
        <w:tblGridChange w:id="0">
          <w:tblGrid>
            <w:gridCol w:w="7915"/>
            <w:gridCol w:w="720"/>
            <w:gridCol w:w="7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Consideration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the venue available for all proposed meeting day/times?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the venue’s location central to as many potential members as possible?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parking available?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public transit available if appropriate?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there sufficient space for meeting attendees, including social time?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the venue’s cost manageable within reasonable membership fees?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the venue accessible - all one level, ramp(s) if needed, washrooms, etc.?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Are the venue’s acoustics appropriate for members with impaired hearing?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AV equipment available? (Many clubs end up purchasing their own.)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 members be required to set up and take down the room?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a kitchen available?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the club provide its own refreshments?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the venue provides refreshments, is the cost reasonable?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it comes to interest groups, the range of options expands, depending on the size of the interest group and what they want to do.</w:t>
      </w:r>
    </w:p>
    <w:p w:rsidR="00000000" w:rsidDel="00000000" w:rsidP="00000000" w:rsidRDefault="00000000" w:rsidRPr="00000000" w14:paraId="0000002E">
      <w:pPr>
        <w:spacing w:after="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example, hiking groups do not need a meeting room. Crafts groups and book clubs do. If the interest group is small, it can often be accommodated in someone’s home. Larger meeting rooms are often available for a nominal amount (or even free) from community centres and churches. This issue is much more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ad hoc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and arranged by the individual groups as needed.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08" w:footer="1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Club Reference Guide, Information and Resources</w:t>
      <w:tab/>
      <w:tab/>
      <w:t xml:space="preserve">Club Meeting Venue Considerations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45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June 2025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892935" cy="664210"/>
          <wp:effectExtent b="0" l="0" r="0" t="0"/>
          <wp:docPr descr="A logo with a yellow and purple circle&#10;&#10;AI-generated content may be incorrect." id="1" name="image1.gif"/>
          <a:graphic>
            <a:graphicData uri="http://schemas.openxmlformats.org/drawingml/2006/picture">
              <pic:pic>
                <pic:nvPicPr>
                  <pic:cNvPr descr="A logo with a yellow and purple circle&#10;&#10;AI-generated content may be incorrect.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2935" cy="664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Page 1 of 1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9360"/>
      </w:tabs>
      <w:spacing w:after="0" w:before="0" w:line="240" w:lineRule="auto"/>
      <w:ind w:left="0" w:right="-9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