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80" w:before="100" w:lineRule="auto"/>
        <w:jc w:val="center"/>
        <w:rPr>
          <w:rFonts w:ascii="Arial" w:cs="Arial" w:eastAsia="Arial" w:hAnsi="Arial"/>
          <w:b w:val="1"/>
          <w:bCs w:val="1"/>
          <w:color w:val="333333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90000"/>
          <w:sz w:val="24"/>
          <w:szCs w:val="24"/>
          <w:rtl w:val="0"/>
        </w:rPr>
        <w:t xml:space="preserve">Смена клиентской лицензии с программной защитой на аппаратную защиту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Такая необходимость возникает в случае, когда были приобретены клиентские лицензии с программной защитой, но необходимо перейти на использование аппаратной защиты. Такой обмен возможен и осуществляется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бесплатно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Для этого необходимо оформить заявку на 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336699"/>
            <w:sz w:val="20"/>
            <w:szCs w:val="20"/>
            <w:rtl w:val="0"/>
          </w:rPr>
          <w:t xml:space="preserve">сайте тех. поддержки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Обмен лицензий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Бесплатное получение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заявке необходимо указать ваши данные: наименование основной поставки, рег. номер основной поставки, рег. номер, на который оформлен договор ИТС, а также указать все сдаваемые лицензии с рег. номерами. Также к заявке необходимо прикрепить </w:t>
      </w:r>
      <w:hyperlink r:id="rId7">
        <w:r w:rsidDel="00000000" w:rsidR="00000000" w:rsidRPr="00000000">
          <w:rPr>
            <w:rFonts w:ascii="Verdana" w:cs="Verdana" w:eastAsia="Verdana" w:hAnsi="Verdana"/>
            <w:color w:val="333333"/>
            <w:sz w:val="20"/>
            <w:szCs w:val="20"/>
            <w:rtl w:val="0"/>
          </w:rPr>
          <w:t xml:space="preserve">заявление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в отсканированном виде. 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Заявление должно содержать регистрационный номер продукта, причину замены и обязательство удалить с компьютера файл программной лицензии после выполнения замены. Заявление должно быть подписано руководителем организации и заверено печатью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150" w:lineRule="auto"/>
        <w:rPr>
          <w:rFonts w:ascii="Arial" w:cs="Arial" w:eastAsia="Arial" w:hAnsi="Arial"/>
          <w:b w:val="1"/>
          <w:bCs w:val="1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  <w:rtl w:val="0"/>
        </w:rPr>
        <w:t xml:space="preserve">ВНИМАНИЕ: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b w:val="1"/>
          <w:bCs w:val="1"/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Обмен производится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БЕСПЛАТНО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После отгрузки нового продукта все пинкоды из заменяемого комплекта становятся неактивными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Обмену подлежат только лицензии, зарегистрированные на одного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У клиента должна быть обязательно действующая подписка на ИТС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Общее число сдаваемых лицензий должно быть меньше или равно числу приобретаемых лицензии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rtweb.1c.ru/PartnerSupport/PartnerSupportEntry.aspx%20" TargetMode="External"/><Relationship Id="rId7" Type="http://schemas.openxmlformats.org/officeDocument/2006/relationships/hyperlink" Target="http://partners.asp-1c.ru/upload/ZV_NA_APPARAT.d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