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i w:val="1"/>
          <w:sz w:val="32"/>
          <w:szCs w:val="32"/>
        </w:rPr>
      </w:pPr>
      <w:bookmarkStart w:colFirst="0" w:colLast="0" w:name="_gjdgxs" w:id="0"/>
      <w:bookmarkEnd w:id="0"/>
      <w:r w:rsidDel="00000000" w:rsidR="00000000" w:rsidRPr="00000000">
        <w:rPr>
          <w:sz w:val="32"/>
          <w:szCs w:val="32"/>
          <w:highlight w:val="yellow"/>
          <w:rtl w:val="0"/>
        </w:rPr>
        <w:t xml:space="preserve">Как установить программную лицензию?</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Программная лицензия необходима для возможности использования 1С:Предприятия 8 без аппаратных ключей защиты. Если в комплект поставки купленного продукта не входит аппаратный ключ защиты, то необходимо получить программную лицензию в центре лицензирования фирмы "1С".</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При первом запуске 1С:Предприятия 8 (режимы Конфигуратор, толстый клиент или тонкий клиент), если не обнаружен аппаратный ключ защиты, то на экран выводится вопрос о необходимости получения программной лицензии. Если пользователь подтверждает эту необходимость, то открывается данная форма.</w:t>
      </w:r>
    </w:p>
    <w:p w:rsidR="00000000" w:rsidDel="00000000" w:rsidP="00000000" w:rsidRDefault="00000000" w:rsidRPr="00000000" w14:paraId="00000006">
      <w:pPr>
        <w:pageBreakBefore w:val="0"/>
        <w:rPr/>
      </w:pPr>
      <w:r w:rsidDel="00000000" w:rsidR="00000000" w:rsidRPr="00000000">
        <w:rPr>
          <w:rtl w:val="0"/>
        </w:rPr>
        <w:t xml:space="preserve">В некоторых случаях возможно повторное получение лицензии или ее обновление (подробнее см. документацию к программе).</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Для получения лицензии необходимы регистрационный номер и PIN-код (находится в запечатанном конверте в комплекте поставки).</w:t>
      </w:r>
    </w:p>
    <w:p w:rsidR="00000000" w:rsidDel="00000000" w:rsidP="00000000" w:rsidRDefault="00000000" w:rsidRPr="00000000" w14:paraId="00000009">
      <w:pPr>
        <w:pageBreakBefore w:val="0"/>
        <w:rPr/>
      </w:pPr>
      <w:r w:rsidDel="00000000" w:rsidR="00000000" w:rsidRPr="00000000">
        <w:rPr>
          <w:rtl w:val="0"/>
        </w:rPr>
        <w:t xml:space="preserve">Все действия в форме выполняются по шагам. Дляпереходу к следующему шагу нажмите кнопку "Далее &gt;", для возврата - кнопку "&lt; Назад". Возврат возможен из любого места в любое предыдущее.</w:t>
      </w:r>
    </w:p>
    <w:p w:rsidR="00000000" w:rsidDel="00000000" w:rsidP="00000000" w:rsidRDefault="00000000" w:rsidRPr="00000000" w14:paraId="0000000A">
      <w:pPr>
        <w:pageBreakBefore w:val="0"/>
        <w:rPr/>
      </w:pPr>
      <w:r w:rsidDel="00000000" w:rsidR="00000000" w:rsidRPr="00000000">
        <w:rPr>
          <w:rtl w:val="0"/>
        </w:rPr>
        <w:t xml:space="preserve">Возможные варианты действий имеют подробные комментарии.</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Внимание! В зависимости от указанных данных отдельные шаги могут быть пропущены или переход будет выполнен на другую ветку формы.</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На первом шаге следует выбрать вид получаемой лицензии в зависимости от купленного комплекта. Для получения однопользовательской лицензии установите переключатель "На этот компьютер". Если комплект предназначен для использования на нескольких рабочих местах или включает сервер, то установите переключатель "На компьютер сервера". При этом в форме показываются поля для ввода адреса сервера и порта агент а сервера. Если сервер указан неверно, то система выдаст предупреждение при попытке перехода к следующему шагу.</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На следующем шаге следует выбрать вид операции по получению лицензии (первичное получение, обновление или повторное получение).Для каждого вида в диалоге размещен комментарий.</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Если на первом шаге выбран вид получаемой лицензии "На этот компьютер", то на следующем шаге выбирается предназначение лицензии. Предназначение выбирается либо для всех пользователей данного компьютера, либо для текущего пользователя (указывается в круглых скобках).</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Если на первом шаге выбран вид получаемой лицензии "На компьютер сервера", то предназначение не выбирается.</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На следующем шаге выполняется выбор способа получения лицензии.</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При переходе к следующему шагу система определяет, возможно ли автоматическое получение лицензии.</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Если автоматическое получение невозможно, то получение лицензии выполняется только способами: "На электронном носителе" и "Вручную".</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Автоматическое получение лицензии</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Автоматическое получение возможно, если доступны сеть Интернет и центр лицензирования. Если доступны, то устанавливается переключатель "Автоматически", а другие переключатели становятся недоступными.</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Для получения лицензии следует нажать кнопку "Далее &gt;". Система самостоятельно соберет необходимые данные, передаст их в центр лицензирования, получит лицензию и разместит ее на компьютере пользователя или на сервере, о чем будет выдано сообщение, а диалог получения лицензии перейдет к финальному шагу. Для его закрытия следует нажать кнопку "Готово".</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Получение лицензии способом "На электронном носителе"</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Способ "На электронном носителе" выбирается, если есть возможность отправить файл запроса и получить данные лицензии по электронной почте или на специальной странице центра лицензирования фирмы "1С" (адрес электронной почты для получения лицензий указаны в документе с PIN-кодом). При этом весь процесс разбивается на два этапа: создания файла запроса и собственно получение данных лицензии. Эти этапы могут быть выполнены в разное время.</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◦Этап "Создать файл запроса лицензии" выбирается, если лицензия для конкретного пин-кода получается впервые. Далее будет сформирован файл запроса, который нужно будет переслать в центр лицензирования. И до получения ответа можно процесс получения лицензии прервать. После получения ответа следует перейти к этому шагу (значения, указанные на предыдущих шагах, сохраняются между сеансами) и выбрать этап "Получить лицензию из центра лицензирования";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◦Этап "Получить лицензию из центра лицензирования" выбирается, если в центр лицензирования был отправлен файл с данными и из него получен файл данных лицензии.</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Для получения программной лицензии на электронном носителе предназначена веб-страница центра лицензирования, построенная на базе веб-клиента 1С:Предприятия 8.2. Веб-страница центра лицензирования расположена по адресу http://users.v8.1c.ru/lc.</w:t>
      </w:r>
    </w:p>
    <w:p w:rsidR="00000000" w:rsidDel="00000000" w:rsidP="00000000" w:rsidRDefault="00000000" w:rsidRPr="00000000" w14:paraId="0000002B">
      <w:pPr>
        <w:pageBreakBefore w:val="0"/>
        <w:rPr/>
      </w:pPr>
      <w:r w:rsidDel="00000000" w:rsidR="00000000" w:rsidRPr="00000000">
        <w:rPr>
          <w:rtl w:val="0"/>
        </w:rPr>
        <w:t xml:space="preserve">Она позволяет передать в центр лицензирования файл запроса на лицензию, построенный данным диалогом, и получить из центра лицензирования файл данных лицензии.</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Для этого необходимо нажать «Выбор файла запроса на лицензию» и выбрать подготовленный файл запроса на лицензию.</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Если файл запроса на лицензию выбран правильно, то будет отображена кнопка «Сохранить файл данных лицензии».</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После нажатия на кнопку «Сохранить файл данных лицензии» страница предложит выбрать каталог и имя файла, в который будут сохранены выданные центром лицензирования данные лицензии, после чего данные будут сохранены в этот файл.</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Файл с данными лицензии необходимо перенести на компьютер с установленным 1С:Предприятием 8.2 и указать его на странице ввода каталога и имени файла данных лицензии.</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Создание файла запроса лицензии</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Если выбран этап "Создать файл запроса лицензии", то на следующем шаге следует указать регистрационный номер комплекта и пин-код, а также указать вид пользователя (организация или физическое лицо).</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На следующем шаге показывается.как правильно заполнить данные о владельце лицензии.</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На следующем шаге следует ввести данные о владельце лицензии.</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На следующем шаге показывается результат ввода. Данные можно сохранить в файл на диск или распечатать, т.к. при повторном получении или обновлении лицензии эти данные следует указать точно так, как при первом обращении.</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На следующем шаге система самостоятельно формирует файл запроса и предлагает записать его на диск. Следует выбрать устройство и указать имя файла (рекомендуется предлагаемое имя файла не изменять).</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На следующем шаге система сообщает, что файл запроса сохранен. Его нужно передать в центр лицензирования. </w:t>
      </w:r>
    </w:p>
    <w:p w:rsidR="00000000" w:rsidDel="00000000" w:rsidP="00000000" w:rsidRDefault="00000000" w:rsidRPr="00000000" w14:paraId="00000042">
      <w:pPr>
        <w:pageBreakBefore w:val="0"/>
        <w:rPr/>
      </w:pPr>
      <w:r w:rsidDel="00000000" w:rsidR="00000000" w:rsidRPr="00000000">
        <w:rPr>
          <w:rtl w:val="0"/>
        </w:rPr>
        <w:t xml:space="preserve">Необходимо дождаться ответа центра лицензирования. При этом можно прервать работу диалога или не прерывать его. Если работа диалога прервана, то после получения файла с данными лицензии следует выбрать этап "Получить лицензию из центра лицензирования". Если ответ получен без прерывания, то для продолжения получения лицензии достаточно перейти на следующий шаг.</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highlight w:val="yellow"/>
          <w:rtl w:val="0"/>
        </w:rPr>
        <w:t xml:space="preserve">Получение данных лицензии</w:t>
      </w: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В центре лицензирования для данной копии программы и указанного компьютера, формируется лицензия и пересылается пользователю.</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После получения файла данных лицензии от центра лицензирования, необходимо выбрать этап "Получить лицензию из центра лицензирования", либо продолжить работу диалога получения лицензии, если работа не прерывалась.</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В диалоге следует указать путь к полученному файлу с данными лицензии и нажать кнопку "Далее &gt;". Если в файле содержатся данные лицензии, то лицензия принимается и устанавливается. Если файл не содержит данных лицензии, то в диалог выводится сообщение с объяснением причины.</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highlight w:val="yellow"/>
          <w:rtl w:val="0"/>
        </w:rPr>
        <w:t xml:space="preserve">Получение лицензии способом "Вручную"</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После нажатия кнопки "Далее &gt;" система сразу переходит к шагу, на котором следует указать регистрационный номер комплекта и пин-код, а также указать вид пользователя (организация или физическое лицо).</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На следующем шаге показывается.как правильно заполнить данные о владельце лицензии.</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На следующем шаге следует ввести данные о владельце лицензии.</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На следующем шаге показывается результат ввода. Данные можно сохранить в файл на диск или распечатать, т.к. при повторном получении или обновлении лицензии эти данные следует указать точно так, как при первом обращении.</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На следующем шаге показывается информация для получения лицензии. Для получения данных лицензии следует позвонить в центр лицензирования и продиктовать эту ниформацию. Оператор вводит эти данные и по совпадению контрольных сумм устанавливается правильность введенных оператором данных. Если контрольные суммы не совпадают, то следует продиктовать информацию еще раз до совпадения контрольных сумм.</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Для ввода данных лицензии перейдите на следующий шаг.</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В диалоге следует последовательно ввести данные лицензии, сообщаемые оператором. При этом после ввода каждой строки система выводит контрольную суммы введенной строки. Если она совпадет с контрольной суммой, сказанной оператором, то можно переходить к вводу следующей строки. Если не совпадет, то строка вводится заново.</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После ввода всех строк следует сравнить итоговые контрольные суммы.</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После того, как данные проверены следует нажать кнопку "Далее &gt;". Данные лицензии записываются на компьютер пользователя или сервер о чем будет выдано сообщение, а диалог получения лицензии перейдет к финальному шагу. Для его закрытия следует нажать кнопку "Готово".</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