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fcr6qxt2zye" w:id="0"/>
      <w:bookmarkEnd w:id="0"/>
      <w:r w:rsidDel="00000000" w:rsidR="00000000" w:rsidRPr="00000000">
        <w:rPr>
          <w:rtl w:val="0"/>
        </w:rPr>
        <w:t xml:space="preserve">7.9 - Perfective Verbs in the Present Tense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Now let’s learn about perfective verbs and their use in the present tense.</w:t>
      </w:r>
    </w:p>
    <w:p w:rsidR="00000000" w:rsidDel="00000000" w:rsidP="00000000" w:rsidRDefault="00000000" w:rsidRPr="00000000" w14:paraId="00000004">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5">
            <w:pPr>
              <w:pageBreakBefore w:val="0"/>
              <w:jc w:val="center"/>
              <w:rPr>
                <w:b w:val="1"/>
                <w:bCs w:val="1"/>
              </w:rPr>
            </w:pPr>
            <w:r w:rsidDel="00000000" w:rsidR="00000000" w:rsidRPr="00000000">
              <w:rPr>
                <w:b w:val="1"/>
                <w:bCs w:val="1"/>
                <w:rtl w:val="0"/>
              </w:rPr>
              <w:t xml:space="preserve">Perfective Verbs in the Present Tense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pPr>
            <w:r w:rsidDel="00000000" w:rsidR="00000000" w:rsidRPr="00000000">
              <w:rPr>
                <w:b w:val="1"/>
                <w:bCs w:val="1"/>
                <w:rtl w:val="0"/>
              </w:rPr>
              <w:t xml:space="preserve">Habitual Action with Focus on Completion</w:t>
            </w:r>
            <w:r w:rsidDel="00000000" w:rsidR="00000000" w:rsidRPr="00000000">
              <w:rPr>
                <w:rtl w:val="0"/>
              </w:rPr>
              <w:t xml:space="preserve"> – here it happens regularly, but the focus is on the completion. </w:t>
            </w:r>
          </w:p>
          <w:p w:rsidR="00000000" w:rsidDel="00000000" w:rsidP="00000000" w:rsidRDefault="00000000" w:rsidRPr="00000000" w14:paraId="00000007">
            <w:pPr>
              <w:pageBreakBefore w:val="0"/>
              <w:widowControl w:val="0"/>
              <w:spacing w:line="240" w:lineRule="auto"/>
              <w:rPr/>
            </w:pPr>
            <w:r w:rsidDel="00000000" w:rsidR="00000000" w:rsidRPr="00000000">
              <w:rPr>
                <w:rtl w:val="0"/>
              </w:rPr>
            </w:r>
          </w:p>
          <w:p w:rsidR="00000000" w:rsidDel="00000000" w:rsidP="00000000" w:rsidRDefault="00000000" w:rsidRPr="00000000" w14:paraId="00000008">
            <w:pPr>
              <w:pageBreakBefore w:val="0"/>
              <w:widowControl w:val="0"/>
              <w:spacing w:line="240" w:lineRule="auto"/>
              <w:ind w:left="720" w:firstLine="0"/>
              <w:rPr>
                <w:i w:val="1"/>
                <w:iCs w:val="1"/>
              </w:rPr>
            </w:pPr>
            <w:r w:rsidDel="00000000" w:rsidR="00000000" w:rsidRPr="00000000">
              <w:rPr>
                <w:i w:val="1"/>
                <w:iCs w:val="1"/>
                <w:rtl w:val="0"/>
              </w:rPr>
              <w:t xml:space="preserve">Naši studenti vždycky napíšou esej na konci semestru.</w:t>
            </w:r>
          </w:p>
          <w:p w:rsidR="00000000" w:rsidDel="00000000" w:rsidP="00000000" w:rsidRDefault="00000000" w:rsidRPr="00000000" w14:paraId="00000009">
            <w:pPr>
              <w:pageBreakBefore w:val="0"/>
              <w:widowControl w:val="0"/>
              <w:spacing w:line="240" w:lineRule="auto"/>
              <w:ind w:left="720" w:firstLine="0"/>
              <w:rPr/>
            </w:pPr>
            <w:r w:rsidDel="00000000" w:rsidR="00000000" w:rsidRPr="00000000">
              <w:rPr>
                <w:rtl w:val="0"/>
              </w:rPr>
              <w:t xml:space="preserve">Our students always write an essay at the end of the semester.</w:t>
            </w:r>
          </w:p>
          <w:p w:rsidR="00000000" w:rsidDel="00000000" w:rsidP="00000000" w:rsidRDefault="00000000" w:rsidRPr="00000000" w14:paraId="0000000A">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0B">
            <w:pPr>
              <w:pageBreakBefore w:val="0"/>
              <w:widowControl w:val="0"/>
              <w:spacing w:line="240" w:lineRule="auto"/>
              <w:rPr/>
            </w:pPr>
            <w:r w:rsidDel="00000000" w:rsidR="00000000" w:rsidRPr="00000000">
              <w:rPr>
                <w:rtl w:val="0"/>
              </w:rPr>
              <w:t xml:space="preserve">Using </w:t>
            </w:r>
            <w:r w:rsidDel="00000000" w:rsidR="00000000" w:rsidRPr="00000000">
              <w:rPr>
                <w:i w:val="1"/>
                <w:iCs w:val="1"/>
                <w:rtl w:val="0"/>
              </w:rPr>
              <w:t xml:space="preserve">píšou </w:t>
            </w:r>
            <w:r w:rsidDel="00000000" w:rsidR="00000000" w:rsidRPr="00000000">
              <w:rPr>
                <w:rtl w:val="0"/>
              </w:rPr>
              <w:t xml:space="preserve">- ‘the write’ is also possible, but that would focus more on the activity itself (and all the steps of the writing process) instead of the complete action here. The same goes with the following sentence, where the emphasis is on the completion of a a regular task:</w:t>
            </w:r>
          </w:p>
          <w:p w:rsidR="00000000" w:rsidDel="00000000" w:rsidP="00000000" w:rsidRDefault="00000000" w:rsidRPr="00000000" w14:paraId="0000000C">
            <w:pPr>
              <w:pageBreakBefore w:val="0"/>
              <w:widowControl w:val="0"/>
              <w:spacing w:line="240" w:lineRule="auto"/>
              <w:rPr/>
            </w:pPr>
            <w:r w:rsidDel="00000000" w:rsidR="00000000" w:rsidRPr="00000000">
              <w:rPr>
                <w:rtl w:val="0"/>
              </w:rPr>
            </w:r>
          </w:p>
          <w:p w:rsidR="00000000" w:rsidDel="00000000" w:rsidP="00000000" w:rsidRDefault="00000000" w:rsidRPr="00000000" w14:paraId="0000000D">
            <w:pPr>
              <w:pageBreakBefore w:val="0"/>
              <w:widowControl w:val="0"/>
              <w:spacing w:line="240" w:lineRule="auto"/>
              <w:ind w:left="720" w:firstLine="0"/>
              <w:rPr>
                <w:i w:val="1"/>
                <w:iCs w:val="1"/>
              </w:rPr>
            </w:pPr>
            <w:r w:rsidDel="00000000" w:rsidR="00000000" w:rsidRPr="00000000">
              <w:rPr>
                <w:i w:val="1"/>
                <w:iCs w:val="1"/>
                <w:rtl w:val="0"/>
              </w:rPr>
              <w:t xml:space="preserve">Jan většinou uklidí celý byt za hodinu nebo dvě.</w:t>
            </w:r>
          </w:p>
          <w:p w:rsidR="00000000" w:rsidDel="00000000" w:rsidP="00000000" w:rsidRDefault="00000000" w:rsidRPr="00000000" w14:paraId="0000000E">
            <w:pPr>
              <w:pageBreakBefore w:val="0"/>
              <w:widowControl w:val="0"/>
              <w:spacing w:line="240" w:lineRule="auto"/>
              <w:ind w:left="720" w:firstLine="0"/>
              <w:rPr/>
            </w:pPr>
            <w:r w:rsidDel="00000000" w:rsidR="00000000" w:rsidRPr="00000000">
              <w:rPr>
                <w:rtl w:val="0"/>
              </w:rPr>
              <w:t xml:space="preserve">Jan usually cleans the whole apartment in an hour or two.</w:t>
            </w:r>
          </w:p>
          <w:p w:rsidR="00000000" w:rsidDel="00000000" w:rsidP="00000000" w:rsidRDefault="00000000" w:rsidRPr="00000000" w14:paraId="0000000F">
            <w:pPr>
              <w:pageBreakBefore w:val="0"/>
              <w:widowControl w:val="0"/>
              <w:spacing w:line="240" w:lineRule="auto"/>
              <w:rPr/>
            </w:pPr>
            <w:r w:rsidDel="00000000" w:rsidR="00000000" w:rsidRPr="00000000">
              <w:rPr>
                <w:rtl w:val="0"/>
              </w:rPr>
            </w:r>
          </w:p>
          <w:p w:rsidR="00000000" w:rsidDel="00000000" w:rsidP="00000000" w:rsidRDefault="00000000" w:rsidRPr="00000000" w14:paraId="00000010">
            <w:pPr>
              <w:pageBreakBefore w:val="0"/>
              <w:widowControl w:val="0"/>
              <w:spacing w:line="240" w:lineRule="auto"/>
              <w:rPr/>
            </w:pPr>
            <w:r w:rsidDel="00000000" w:rsidR="00000000" w:rsidRPr="00000000">
              <w:rPr>
                <w:b w:val="1"/>
                <w:bCs w:val="1"/>
                <w:rtl w:val="0"/>
              </w:rPr>
              <w:t xml:space="preserve">Habitual Action with Focus on Completion in Sequence of Events </w:t>
            </w:r>
            <w:r w:rsidDel="00000000" w:rsidR="00000000" w:rsidRPr="00000000">
              <w:rPr>
                <w:rtl w:val="0"/>
              </w:rPr>
              <w:t xml:space="preserve">– this isn’t too different from the habitual actions, but the sequence of events is an added motivation to use perfectives, since you are typically trying to convey that one action is completed before another.</w:t>
            </w:r>
          </w:p>
          <w:p w:rsidR="00000000" w:rsidDel="00000000" w:rsidP="00000000" w:rsidRDefault="00000000" w:rsidRPr="00000000" w14:paraId="00000011">
            <w:pPr>
              <w:pageBreakBefore w:val="0"/>
              <w:widowControl w:val="0"/>
              <w:spacing w:line="240" w:lineRule="auto"/>
              <w:rPr/>
            </w:pPr>
            <w:r w:rsidDel="00000000" w:rsidR="00000000" w:rsidRPr="00000000">
              <w:rPr>
                <w:rtl w:val="0"/>
              </w:rPr>
            </w:r>
          </w:p>
          <w:p w:rsidR="00000000" w:rsidDel="00000000" w:rsidP="00000000" w:rsidRDefault="00000000" w:rsidRPr="00000000" w14:paraId="00000012">
            <w:pPr>
              <w:pageBreakBefore w:val="0"/>
              <w:widowControl w:val="0"/>
              <w:spacing w:line="240" w:lineRule="auto"/>
              <w:ind w:left="720" w:firstLine="0"/>
              <w:rPr>
                <w:i w:val="1"/>
                <w:iCs w:val="1"/>
              </w:rPr>
            </w:pPr>
            <w:r w:rsidDel="00000000" w:rsidR="00000000" w:rsidRPr="00000000">
              <w:rPr>
                <w:i w:val="1"/>
                <w:iCs w:val="1"/>
                <w:rtl w:val="0"/>
              </w:rPr>
              <w:t xml:space="preserve">Každý večer se obvykle umyju, vyčistím si zuby a pak jdu</w:t>
            </w:r>
            <w:r w:rsidDel="00000000" w:rsidR="00000000" w:rsidRPr="00000000">
              <w:rPr>
                <w:i w:val="1"/>
                <w:iCs w:val="1"/>
                <w:vertAlign w:val="superscript"/>
              </w:rPr>
              <w:footnoteReference w:customMarkFollows="0" w:id="0"/>
            </w:r>
            <w:r w:rsidDel="00000000" w:rsidR="00000000" w:rsidRPr="00000000">
              <w:rPr>
                <w:i w:val="1"/>
                <w:iCs w:val="1"/>
                <w:rtl w:val="0"/>
              </w:rPr>
              <w:t xml:space="preserve"> spát.</w:t>
            </w:r>
          </w:p>
          <w:p w:rsidR="00000000" w:rsidDel="00000000" w:rsidP="00000000" w:rsidRDefault="00000000" w:rsidRPr="00000000" w14:paraId="00000013">
            <w:pPr>
              <w:pageBreakBefore w:val="0"/>
              <w:widowControl w:val="0"/>
              <w:spacing w:line="240" w:lineRule="auto"/>
              <w:ind w:left="720" w:firstLine="0"/>
              <w:rPr/>
            </w:pPr>
            <w:r w:rsidDel="00000000" w:rsidR="00000000" w:rsidRPr="00000000">
              <w:rPr>
                <w:rtl w:val="0"/>
              </w:rPr>
              <w:t xml:space="preserve">Every evening I wash (myself) up, brush my teeth and then go to bed.</w:t>
            </w:r>
          </w:p>
        </w:tc>
      </w:tr>
    </w:tbl>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0" w:firstLine="0"/>
        <w:rPr/>
      </w:pPr>
      <w:r w:rsidDel="00000000" w:rsidR="00000000" w:rsidRPr="00000000">
        <w:rPr>
          <w:rtl w:val="0"/>
        </w:rPr>
      </w:r>
    </w:p>
    <w:tbl>
      <w:tblPr>
        <w:tblStyle w:val="Table2"/>
        <w:tblW w:w="9360.0" w:type="dxa"/>
        <w:jc w:val="left"/>
        <w:tblLayout w:type="fixed"/>
        <w:tblLook w:val="0600"/>
      </w:tblPr>
      <w:tblGrid>
        <w:gridCol w:w="8010"/>
        <w:gridCol w:w="1350"/>
        <w:tblGridChange w:id="0">
          <w:tblGrid>
            <w:gridCol w:w="8010"/>
            <w:gridCol w:w="1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rPr/>
            </w:pPr>
            <w:r w:rsidDel="00000000" w:rsidR="00000000" w:rsidRPr="00000000">
              <w:rPr>
                <w:rtl w:val="0"/>
              </w:rPr>
              <w:t xml:space="preserve">As a way of summing this up, if we recall our way of viewing the perfective verb as a point (instead of an unbounded line), in which the activity in its entirety from start to ultimate completion is understood, then these meanings above should start to make sense.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widowControl w:val="0"/>
              <w:spacing w:line="240" w:lineRule="auto"/>
              <w:jc w:val="center"/>
              <w:rPr/>
            </w:pPr>
            <w:hyperlink r:id="rId7">
              <w:r w:rsidDel="00000000" w:rsidR="00000000" w:rsidRPr="00000000">
                <w:rPr>
                  <w:color w:val="1155cc"/>
                  <w:u w:val="single"/>
                </w:rPr>
                <w:drawing>
                  <wp:inline distB="114300" distT="114300" distL="114300" distR="114300">
                    <wp:extent cx="481013" cy="4762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1013" cy="47625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8">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Images used in this document come from </w:t>
      </w:r>
      <w:hyperlink r:id="rId9">
        <w:r w:rsidDel="00000000" w:rsidR="00000000" w:rsidRPr="00000000">
          <w:rPr>
            <w:color w:val="1155cc"/>
            <w:u w:val="single"/>
            <w:rtl w:val="0"/>
          </w:rPr>
          <w:t xml:space="preserve">these sources</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A">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should be noted that </w:t>
      </w:r>
      <w:hyperlink r:id="rId1">
        <w:r w:rsidDel="00000000" w:rsidR="00000000" w:rsidRPr="00000000">
          <w:rPr>
            <w:i w:val="1"/>
            <w:iCs w:val="1"/>
            <w:color w:val="1155cc"/>
            <w:sz w:val="20"/>
            <w:szCs w:val="20"/>
            <w:u w:val="single"/>
            <w:rtl w:val="0"/>
          </w:rPr>
          <w:t xml:space="preserve">jít</w:t>
        </w:r>
      </w:hyperlink>
      <w:hyperlink r:id="rId2">
        <w:r w:rsidDel="00000000" w:rsidR="00000000" w:rsidRPr="00000000">
          <w:rPr>
            <w:color w:val="1155cc"/>
            <w:sz w:val="20"/>
            <w:szCs w:val="20"/>
            <w:u w:val="single"/>
            <w:rtl w:val="0"/>
          </w:rPr>
          <w:t xml:space="preserve"> is not actually perfective, but determinate</w:t>
        </w:r>
      </w:hyperlink>
      <w:r w:rsidDel="00000000" w:rsidR="00000000" w:rsidRPr="00000000">
        <w:rPr>
          <w:sz w:val="20"/>
          <w:szCs w:val="20"/>
          <w:rtl w:val="0"/>
        </w:rPr>
        <w:t xml:space="preserve">. However, in sequences determinate verbs are used in the same way as perfectives (i.e. to mark sequentiality).</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nfosH9ZwNK_H4iHWw2J63Qma6zIRrp00sE9baE98rao/edit#heading=h.cfmgftpv327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ommons.wikimedia.org/wiki/File:BlackDot.svg"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ealityczech.org/chodit-vs-jit-to-go-by-foot" TargetMode="External"/><Relationship Id="rId2" Type="http://schemas.openxmlformats.org/officeDocument/2006/relationships/hyperlink" Target="https://realityczech.org/chodit-vs-jit-to-go-by-fo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