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3hxqbypq3ihw" w:id="0"/>
      <w:bookmarkEnd w:id="0"/>
      <w:r w:rsidDel="00000000" w:rsidR="00000000" w:rsidRPr="00000000">
        <w:rPr>
          <w:rtl w:val="0"/>
        </w:rPr>
        <w:t xml:space="preserve">10.2 - ‘at’ a location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190449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11122" l="0" r="0" t="3470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90449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spacing w:line="240" w:lineRule="auto"/>
        <w:rPr/>
      </w:pPr>
      <w:bookmarkStart w:colFirst="0" w:colLast="0" w:name="_msp17alt50pn" w:id="1"/>
      <w:bookmarkEnd w:id="1"/>
      <w:r w:rsidDel="00000000" w:rsidR="00000000" w:rsidRPr="00000000">
        <w:rPr>
          <w:rtl w:val="0"/>
        </w:rPr>
        <w:t xml:space="preserve">‘at’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If you want to say ‘at’ in Czech...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when we want to say ‘in’ we use the preposition </w:t>
      </w:r>
      <w:r w:rsidDel="00000000" w:rsidR="00000000" w:rsidRPr="00000000">
        <w:rPr>
          <w:b w:val="1"/>
          <w:i w:val="1"/>
          <w:rtl w:val="0"/>
        </w:rPr>
        <w:t xml:space="preserve">v </w:t>
      </w:r>
      <w:r w:rsidDel="00000000" w:rsidR="00000000" w:rsidRPr="00000000">
        <w:rPr>
          <w:b w:val="1"/>
          <w:rtl w:val="0"/>
        </w:rPr>
        <w:t xml:space="preserve">+ LOC</w:t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when we want to say ‘on’ we use the preposition </w:t>
      </w:r>
      <w:r w:rsidDel="00000000" w:rsidR="00000000" w:rsidRPr="00000000">
        <w:rPr>
          <w:b w:val="1"/>
          <w:i w:val="1"/>
          <w:rtl w:val="0"/>
        </w:rPr>
        <w:t xml:space="preserve">na </w:t>
      </w:r>
      <w:r w:rsidDel="00000000" w:rsidR="00000000" w:rsidRPr="00000000">
        <w:rPr>
          <w:b w:val="1"/>
          <w:rtl w:val="0"/>
        </w:rPr>
        <w:t xml:space="preserve">+ LOC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when we want to say ‘at’, Czech uses either </w:t>
      </w:r>
      <w:r w:rsidDel="00000000" w:rsidR="00000000" w:rsidRPr="00000000">
        <w:rPr>
          <w:i w:val="1"/>
          <w:rtl w:val="0"/>
        </w:rPr>
        <w:t xml:space="preserve">v </w:t>
      </w:r>
      <w:r w:rsidDel="00000000" w:rsidR="00000000" w:rsidRPr="00000000">
        <w:rPr>
          <w:rtl w:val="0"/>
        </w:rPr>
        <w:t xml:space="preserve">+ LOC or </w:t>
      </w:r>
      <w:r w:rsidDel="00000000" w:rsidR="00000000" w:rsidRPr="00000000">
        <w:rPr>
          <w:i w:val="1"/>
          <w:rtl w:val="0"/>
        </w:rPr>
        <w:t xml:space="preserve">na </w:t>
      </w:r>
      <w:r w:rsidDel="00000000" w:rsidR="00000000" w:rsidRPr="00000000">
        <w:rPr>
          <w:rtl w:val="0"/>
        </w:rPr>
        <w:t xml:space="preserve">+ LOC, depending largely on rules (see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Prepositions </w:t>
        </w:r>
      </w:hyperlink>
      <w:hyperlink r:id="rId9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v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 and </w:t>
        </w:r>
      </w:hyperlink>
      <w:hyperlink r:id="rId11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na</w:t>
        </w:r>
      </w:hyperlink>
      <w:r w:rsidDel="00000000" w:rsidR="00000000" w:rsidRPr="00000000">
        <w:rPr>
          <w:rtl w:val="0"/>
        </w:rPr>
        <w:t xml:space="preserve"> for further review of these prepositions and an explanation of the rules)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when we want to say ‘at a person’s place’, then we use the preposition </w:t>
      </w:r>
      <w:r w:rsidDel="00000000" w:rsidR="00000000" w:rsidRPr="00000000">
        <w:rPr>
          <w:i w:val="1"/>
          <w:rtl w:val="0"/>
        </w:rPr>
        <w:t xml:space="preserve">u</w:t>
      </w:r>
      <w:r w:rsidDel="00000000" w:rsidR="00000000" w:rsidRPr="00000000">
        <w:rPr>
          <w:rtl w:val="0"/>
        </w:rPr>
        <w:t xml:space="preserve"> + GEN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These rules are summarized in the chart: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90"/>
        <w:gridCol w:w="2190"/>
        <w:gridCol w:w="2175"/>
        <w:gridCol w:w="2280"/>
        <w:tblGridChange w:id="0">
          <w:tblGrid>
            <w:gridCol w:w="2190"/>
            <w:gridCol w:w="2190"/>
            <w:gridCol w:w="2175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‘from’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odkud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‘at’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kde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‘to’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kam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ind w:left="40" w:firstLine="0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</w:t>
            </w:r>
            <w:r w:rsidDel="00000000" w:rsidR="00000000" w:rsidRPr="00000000">
              <w:rPr>
                <w:b w:val="1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z hospody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+ LOC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v hospodě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 + GEN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do hospody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40" w:firstLine="0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na</w:t>
            </w:r>
            <w:r w:rsidDel="00000000" w:rsidR="00000000" w:rsidRPr="00000000">
              <w:rPr>
                <w:b w:val="1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z koncertu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+ LOC</w:t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na koncertě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+ ACC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na koncert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person, certain types of locations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od + GEN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od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 + GEN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u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+ DAT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k Pavlovi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Například: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Dneska večer budu </w:t>
      </w:r>
      <w:r w:rsidDel="00000000" w:rsidR="00000000" w:rsidRPr="00000000">
        <w:rPr>
          <w:b w:val="1"/>
          <w:i w:val="1"/>
          <w:rtl w:val="0"/>
        </w:rPr>
        <w:t xml:space="preserve">v hospodě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‘Tonight I will be at the pub.’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Včera jsme byly </w:t>
      </w:r>
      <w:r w:rsidDel="00000000" w:rsidR="00000000" w:rsidRPr="00000000">
        <w:rPr>
          <w:b w:val="1"/>
          <w:i w:val="1"/>
          <w:rtl w:val="0"/>
        </w:rPr>
        <w:t xml:space="preserve">na koncertě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‘We were at a concert yesterday.’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 sobotu bude party </w:t>
      </w:r>
      <w:r w:rsidDel="00000000" w:rsidR="00000000" w:rsidRPr="00000000">
        <w:rPr>
          <w:b w:val="1"/>
          <w:i w:val="1"/>
          <w:rtl w:val="0"/>
        </w:rPr>
        <w:t xml:space="preserve">u Pavla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‘On Saturday there will be a party </w:t>
      </w:r>
      <w:r w:rsidDel="00000000" w:rsidR="00000000" w:rsidRPr="00000000">
        <w:rPr>
          <w:b w:val="1"/>
          <w:rtl w:val="0"/>
        </w:rPr>
        <w:t xml:space="preserve">at Pavel’s</w:t>
      </w:r>
      <w:r w:rsidDel="00000000" w:rsidR="00000000" w:rsidRPr="00000000">
        <w:rPr>
          <w:rtl w:val="0"/>
        </w:rPr>
        <w:t xml:space="preserve"> (house, place, etc.).’</w:t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ealityczech.org/prepositions-v-and-na" TargetMode="External"/><Relationship Id="rId10" Type="http://schemas.openxmlformats.org/officeDocument/2006/relationships/hyperlink" Target="https://realityczech.org/prepositions-v-and-na" TargetMode="External"/><Relationship Id="rId12" Type="http://schemas.openxmlformats.org/officeDocument/2006/relationships/hyperlink" Target="https://docs.google.com/document/d/1yaPhkNEfxYLcwdIwp99HcsdnLA0YtTD8Rs8Mri8AjXk/edit#heading=h.5iikqptqzze4" TargetMode="External"/><Relationship Id="rId9" Type="http://schemas.openxmlformats.org/officeDocument/2006/relationships/hyperlink" Target="https://realityczech.org/prepositions-v-and-na" TargetMode="External"/><Relationship Id="rId5" Type="http://schemas.openxmlformats.org/officeDocument/2006/relationships/styles" Target="styles.xml"/><Relationship Id="rId6" Type="http://schemas.openxmlformats.org/officeDocument/2006/relationships/hyperlink" Target="https://pixabay.com/en/web-map-flat-design-pin-world-3120321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realityczech.org/prepositions-v-and-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