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Rád bych studoval anglistiku nebo lingvistiku.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rád bych studoval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I’d like to study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anglistika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English studies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Chtěla bych se věnovat speciální pedagogice, což je práce s... jako logopedie a surdopedie, což je práce s lidma (lidmi), který (kteří) mají nějaký problém s mluvou nebo s poslechem, se slyšením… - No se sluchem. - Se sluchem. A chtěla bych těm lidem pomáhat.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věnovat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(+DAT) - to dedicate oneself (to)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which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logopedie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speech therapy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 lidmi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people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mluva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speech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poslech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listening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sluch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hearing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...těm lidem pomáhat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help those people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