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w7b537iwox2n"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1 </w:t>
      </w:r>
      <w:r w:rsidDel="00000000" w:rsidR="00000000" w:rsidRPr="00000000">
        <w:rPr>
          <w:color w:val="cc2909"/>
          <w:rtl w:val="0"/>
        </w:rPr>
        <w:t xml:space="preserve">|</w:t>
      </w:r>
      <w:r w:rsidDel="00000000" w:rsidR="00000000" w:rsidRPr="00000000">
        <w:rPr>
          <w:rtl w:val="0"/>
        </w:rPr>
        <w:t xml:space="preserve"> Lekcija 2: Dnevni ritam</w:t>
      </w:r>
    </w:p>
    <w:p w:rsidR="00000000" w:rsidDel="00000000" w:rsidP="00000000" w:rsidRDefault="00000000" w:rsidRPr="00000000" w14:paraId="00000002">
      <w:pPr>
        <w:pStyle w:val="Heading1"/>
        <w:rPr/>
      </w:pPr>
      <w:bookmarkStart w:colFirst="0" w:colLast="0" w:name="_54gp7qyma2oj" w:id="1"/>
      <w:bookmarkEnd w:id="1"/>
      <w:r w:rsidDel="00000000" w:rsidR="00000000" w:rsidRPr="00000000">
        <w:rPr>
          <w:color w:val="cc2909"/>
          <w:rtl w:val="0"/>
        </w:rPr>
        <w:t xml:space="preserve">|</w:t>
      </w:r>
      <w:r w:rsidDel="00000000" w:rsidR="00000000" w:rsidRPr="00000000">
        <w:rPr>
          <w:rtl w:val="0"/>
        </w:rPr>
        <w:t xml:space="preserve"> Activities and repetition</w:t>
      </w:r>
    </w:p>
    <w:p w:rsidR="00000000" w:rsidDel="00000000" w:rsidP="00000000" w:rsidRDefault="00000000" w:rsidRPr="00000000" w14:paraId="00000003">
      <w:pPr>
        <w:rPr/>
      </w:pPr>
      <w:r w:rsidDel="00000000" w:rsidR="00000000" w:rsidRPr="00000000">
        <w:rPr>
          <w:rtl w:val="0"/>
        </w:rPr>
        <w:t xml:space="preserve">When we want to express that we do something regularly (i.e., an action that repeats on certain days/times), we need to use the Instrumental case. As you can see in today’s lesson (dialogue four), Luka said: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8610"/>
        <w:tblGridChange w:id="0">
          <w:tblGrid>
            <w:gridCol w:w="750"/>
            <w:gridCol w:w="861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10312" cy="210312"/>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0312" cy="210312"/>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5">
            <w:pPr>
              <w:rPr/>
            </w:pPr>
            <w:r w:rsidDel="00000000" w:rsidR="00000000" w:rsidRPr="00000000">
              <w:rPr>
                <w:i w:val="1"/>
                <w:iCs w:val="1"/>
                <w:rtl w:val="0"/>
              </w:rPr>
              <w:t xml:space="preserve">Ponedjeljkom, srijedom i petkom je košarka, a utorkom i četvrtkom nogomet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t xml:space="preserve">In this sentence, the days are expressed in the Instrumental case, which indicates that the action of playing basketball repeats regularly on Mondays, Wednesdays, and Fridays. While soccer is usually on Tuesdays and Thursdays. </w:t>
      </w:r>
    </w:p>
    <w:p w:rsidR="00000000" w:rsidDel="00000000" w:rsidP="00000000" w:rsidRDefault="00000000" w:rsidRPr="00000000" w14:paraId="00000007">
      <w:pPr>
        <w:pStyle w:val="Heading3"/>
        <w:rPr/>
      </w:pPr>
      <w:bookmarkStart w:colFirst="0" w:colLast="0" w:name="_dxn12frtwt2c" w:id="2"/>
      <w:bookmarkEnd w:id="2"/>
      <w:r w:rsidDel="00000000" w:rsidR="00000000" w:rsidRPr="00000000">
        <w:rPr>
          <w:rtl w:val="0"/>
        </w:rPr>
        <w:t xml:space="preserve">Remember</w:t>
      </w:r>
    </w:p>
    <w:p w:rsidR="00000000" w:rsidDel="00000000" w:rsidP="00000000" w:rsidRDefault="00000000" w:rsidRPr="00000000" w14:paraId="00000008">
      <w:pPr>
        <w:rPr/>
      </w:pPr>
      <w:r w:rsidDel="00000000" w:rsidR="00000000" w:rsidRPr="00000000">
        <w:rPr>
          <w:rtl w:val="0"/>
        </w:rPr>
        <w:t xml:space="preserve">When we express the meaning of repeating an action on a certain day, it is also very common to use words such as često (often), </w:t>
      </w:r>
      <w:r w:rsidDel="00000000" w:rsidR="00000000" w:rsidRPr="00000000">
        <w:rPr>
          <w:b w:val="1"/>
          <w:bCs w:val="1"/>
          <w:rtl w:val="0"/>
        </w:rPr>
        <w:t xml:space="preserve">ponekad</w:t>
      </w:r>
      <w:r w:rsidDel="00000000" w:rsidR="00000000" w:rsidRPr="00000000">
        <w:rPr>
          <w:rtl w:val="0"/>
        </w:rPr>
        <w:t xml:space="preserve"> (sometimes), or </w:t>
      </w:r>
      <w:r w:rsidDel="00000000" w:rsidR="00000000" w:rsidRPr="00000000">
        <w:rPr>
          <w:b w:val="1"/>
          <w:bCs w:val="1"/>
          <w:rtl w:val="0"/>
        </w:rPr>
        <w:t xml:space="preserve">nikada</w:t>
      </w:r>
      <w:r w:rsidDel="00000000" w:rsidR="00000000" w:rsidRPr="00000000">
        <w:rPr>
          <w:rtl w:val="0"/>
        </w:rPr>
        <w:t xml:space="preserve"> (never) in the sentence. Remember that when we use </w:t>
      </w:r>
      <w:r w:rsidDel="00000000" w:rsidR="00000000" w:rsidRPr="00000000">
        <w:rPr>
          <w:i w:val="1"/>
          <w:iCs w:val="1"/>
          <w:rtl w:val="0"/>
        </w:rPr>
        <w:t xml:space="preserve">nikada</w:t>
      </w:r>
      <w:r w:rsidDel="00000000" w:rsidR="00000000" w:rsidRPr="00000000">
        <w:rPr>
          <w:rtl w:val="0"/>
        </w:rPr>
        <w:t xml:space="preserve"> we also need to use the negative particle. For example: </w:t>
      </w:r>
      <w:r w:rsidDel="00000000" w:rsidR="00000000" w:rsidRPr="00000000">
        <w:rPr>
          <w:i w:val="1"/>
          <w:iCs w:val="1"/>
          <w:rtl w:val="0"/>
        </w:rPr>
        <w:t xml:space="preserve">Ja nikada ne igram nogomet vikendom</w:t>
      </w:r>
      <w:r w:rsidDel="00000000" w:rsidR="00000000" w:rsidRPr="00000000">
        <w:rPr>
          <w:rtl w:val="0"/>
        </w:rPr>
        <w:t xml:space="preserve">. Look at the following examples and note the difference in their meanings:</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4200"/>
        <w:gridCol w:w="4335"/>
        <w:tblGridChange w:id="0">
          <w:tblGrid>
            <w:gridCol w:w="825"/>
            <w:gridCol w:w="4200"/>
            <w:gridCol w:w="4335"/>
          </w:tblGrid>
        </w:tblGridChange>
      </w:tblGrid>
      <w:tr>
        <w:trPr>
          <w:cantSplit w:val="0"/>
          <w:trHeight w:val="425" w:hRule="atLeast"/>
          <w:tblHeader w:val="0"/>
        </w:trPr>
        <w:tc>
          <w:tcPr>
            <w:tcBorders>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210312" cy="210312"/>
                  <wp:effectExtent b="0" l="0" r="0" t="0"/>
                  <wp:docPr id="1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0312" cy="210312"/>
                          </a:xfrm>
                          <a:prstGeom prst="rect"/>
                          <a:ln/>
                        </pic:spPr>
                      </pic:pic>
                    </a:graphicData>
                  </a:graphic>
                </wp:inline>
              </w:drawing>
            </w:r>
            <w:r w:rsidDel="00000000" w:rsidR="00000000" w:rsidRPr="00000000">
              <w:rPr>
                <w:rtl w:val="0"/>
              </w:rPr>
            </w:r>
          </w:p>
        </w:tc>
        <w:tc>
          <w:tcPr>
            <w:tcBorders>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U subotu idem u park.</w:t>
            </w:r>
          </w:p>
        </w:tc>
        <w:tc>
          <w:tcPr>
            <w:tcBorders>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Subotom idem u park.</w:t>
            </w:r>
          </w:p>
        </w:tc>
      </w:tr>
      <w:tr>
        <w:trPr>
          <w:cantSplit w:val="0"/>
          <w:trHeight w:val="425" w:hRule="atLeast"/>
          <w:tblHeader w:val="0"/>
        </w:trPr>
        <w:tc>
          <w:tcPr>
            <w:tcBorders>
              <w:top w:color="000000" w:space="0" w:sz="4" w:val="dotted"/>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drawing>
                <wp:inline distB="114300" distT="114300" distL="114300" distR="114300">
                  <wp:extent cx="210312" cy="210312"/>
                  <wp:effectExtent b="0" l="0" r="0" t="0"/>
                  <wp:docPr id="1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0312" cy="210312"/>
                          </a:xfrm>
                          <a:prstGeom prst="rect"/>
                          <a:ln/>
                        </pic:spPr>
                      </pic:pic>
                    </a:graphicData>
                  </a:graphic>
                </wp:inline>
              </w:drawing>
            </w:r>
            <w:r w:rsidDel="00000000" w:rsidR="00000000" w:rsidRPr="00000000">
              <w:rPr>
                <w:rtl w:val="0"/>
              </w:rPr>
            </w:r>
          </w:p>
        </w:tc>
        <w:tc>
          <w:tcPr>
            <w:tcBorders>
              <w:top w:color="000000" w:space="0" w:sz="4" w:val="dotted"/>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U subotu (preposition + accusative)</w:t>
            </w:r>
          </w:p>
        </w:tc>
        <w:tc>
          <w:tcPr>
            <w:tcBorders>
              <w:top w:color="000000" w:space="0" w:sz="4" w:val="dotted"/>
              <w:bottom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(instrumental)</w:t>
            </w:r>
          </w:p>
        </w:tc>
      </w:tr>
      <w:tr>
        <w:trPr>
          <w:cantSplit w:val="0"/>
          <w:trHeight w:val="425" w:hRule="atLeast"/>
          <w:tblHeader w:val="0"/>
        </w:trPr>
        <w:tc>
          <w:tcPr>
            <w:tcBorders>
              <w:top w:color="000000" w:space="0" w:sz="4" w:val="dotted"/>
            </w:tcBorders>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drawing>
                <wp:inline distB="114300" distT="114300" distL="114300" distR="114300">
                  <wp:extent cx="210312" cy="210312"/>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0312" cy="210312"/>
                          </a:xfrm>
                          <a:prstGeom prst="rect"/>
                          <a:ln/>
                        </pic:spPr>
                      </pic:pic>
                    </a:graphicData>
                  </a:graphic>
                </wp:inline>
              </w:drawing>
            </w:r>
            <w:r w:rsidDel="00000000" w:rsidR="00000000" w:rsidRPr="00000000">
              <w:rPr>
                <w:rtl w:val="0"/>
              </w:rPr>
            </w:r>
          </w:p>
        </w:tc>
        <w:tc>
          <w:tcPr>
            <w:tcBorders>
              <w:top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This Saturday I [will] go to the park.</w:t>
            </w:r>
          </w:p>
        </w:tc>
        <w:tc>
          <w:tcPr>
            <w:tcBorders>
              <w:top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On Saturdays I go to the park.</w:t>
            </w:r>
          </w:p>
        </w:tc>
      </w:tr>
    </w:tbl>
    <w:p w:rsidR="00000000" w:rsidDel="00000000" w:rsidP="00000000" w:rsidRDefault="00000000" w:rsidRPr="00000000" w14:paraId="00000012">
      <w:pPr>
        <w:pStyle w:val="Heading1"/>
        <w:rPr/>
      </w:pPr>
      <w:bookmarkStart w:colFirst="0" w:colLast="0" w:name="_gbarec57ln2y" w:id="3"/>
      <w:bookmarkEnd w:id="3"/>
      <w:r w:rsidDel="00000000" w:rsidR="00000000" w:rsidRPr="00000000">
        <w:rPr>
          <w:color w:val="cc2909"/>
          <w:rtl w:val="0"/>
        </w:rPr>
        <w:t xml:space="preserve">|</w:t>
      </w:r>
      <w:r w:rsidDel="00000000" w:rsidR="00000000" w:rsidRPr="00000000">
        <w:rPr>
          <w:rtl w:val="0"/>
        </w:rPr>
        <w:t xml:space="preserve"> Reflexive verbs</w:t>
      </w:r>
    </w:p>
    <w:p w:rsidR="00000000" w:rsidDel="00000000" w:rsidP="00000000" w:rsidRDefault="00000000" w:rsidRPr="00000000" w14:paraId="00000013">
      <w:pPr>
        <w:rPr/>
      </w:pPr>
      <w:r w:rsidDel="00000000" w:rsidR="00000000" w:rsidRPr="00000000">
        <w:rPr>
          <w:rtl w:val="0"/>
        </w:rPr>
        <w:t xml:space="preserve">You</w:t>
      </w:r>
      <w:r w:rsidDel="00000000" w:rsidR="00000000" w:rsidRPr="00000000">
        <w:rPr>
          <w:rtl w:val="0"/>
        </w:rPr>
        <w:t xml:space="preserve"> have already encountered reflexive verbs throughout the previous units. However, now we will look at some that have irregular forms (i.e. those that use different types of endings based on their infinitive form).</w:t>
      </w:r>
    </w:p>
    <w:p w:rsidR="00000000" w:rsidDel="00000000" w:rsidP="00000000" w:rsidRDefault="00000000" w:rsidRPr="00000000" w14:paraId="00000014">
      <w:pPr>
        <w:rPr/>
      </w:pPr>
      <w:r w:rsidDel="00000000" w:rsidR="00000000" w:rsidRPr="00000000">
        <w:rPr>
          <w:rtl w:val="0"/>
        </w:rPr>
        <w:t xml:space="preserve">In this lesson you encountered regular verbs whose forms change based on the regular -ati or -iti endings. However, you also encountered some verbs whose forms change differently than what we would think based on their infinitive endings. Let’s look at both groups more closely. </w:t>
      </w:r>
    </w:p>
    <w:p w:rsidR="00000000" w:rsidDel="00000000" w:rsidP="00000000" w:rsidRDefault="00000000" w:rsidRPr="00000000" w14:paraId="00000015">
      <w:pPr>
        <w:rPr/>
      </w:pPr>
      <w:r w:rsidDel="00000000" w:rsidR="00000000" w:rsidRPr="00000000">
        <w:rPr>
          <w:rtl w:val="0"/>
        </w:rPr>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2265"/>
        <w:gridCol w:w="2265"/>
        <w:gridCol w:w="2310"/>
        <w:tblGridChange w:id="0">
          <w:tblGrid>
            <w:gridCol w:w="2280"/>
            <w:gridCol w:w="2265"/>
            <w:gridCol w:w="2265"/>
            <w:gridCol w:w="2310"/>
          </w:tblGrid>
        </w:tblGridChange>
      </w:tblGrid>
      <w:tr>
        <w:trPr>
          <w:cantSplit w:val="0"/>
          <w:trHeight w:val="1175" w:hRule="atLeast"/>
          <w:tblHeader w:val="0"/>
        </w:trPr>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pPr>
            <w:hyperlink r:id="rId7">
              <w:r w:rsidDel="00000000" w:rsidR="00000000" w:rsidRPr="00000000">
                <w:rPr>
                  <w:color w:val="1155cc"/>
                  <w:u w:val="single"/>
                </w:rPr>
                <w:drawing>
                  <wp:inline distB="114300" distT="114300" distL="114300" distR="114300">
                    <wp:extent cx="1314450" cy="1173593"/>
                    <wp:effectExtent b="0" l="0" r="0" t="0"/>
                    <wp:docPr id="4" name="image5.png"/>
                    <a:graphic>
                      <a:graphicData uri="http://schemas.openxmlformats.org/drawingml/2006/picture">
                        <pic:pic>
                          <pic:nvPicPr>
                            <pic:cNvPr id="0" name="image5.png"/>
                            <pic:cNvPicPr preferRelativeResize="0"/>
                          </pic:nvPicPr>
                          <pic:blipFill>
                            <a:blip r:embed="rId8"/>
                            <a:srcRect b="11358" l="0" r="0" t="0"/>
                            <a:stretch>
                              <a:fillRect/>
                            </a:stretch>
                          </pic:blipFill>
                          <pic:spPr>
                            <a:xfrm>
                              <a:off x="0" y="0"/>
                              <a:ext cx="1314450" cy="1173593"/>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hyperlink r:id="rId9">
              <w:r w:rsidDel="00000000" w:rsidR="00000000" w:rsidRPr="00000000">
                <w:rPr>
                  <w:color w:val="1155cc"/>
                  <w:u w:val="single"/>
                </w:rPr>
                <w:drawing>
                  <wp:inline distB="114300" distT="114300" distL="114300" distR="114300">
                    <wp:extent cx="1304925" cy="1154543"/>
                    <wp:effectExtent b="0" l="0" r="0" t="0"/>
                    <wp:docPr id="8" name="image11.png"/>
                    <a:graphic>
                      <a:graphicData uri="http://schemas.openxmlformats.org/drawingml/2006/picture">
                        <pic:pic>
                          <pic:nvPicPr>
                            <pic:cNvPr id="0" name="image11.png"/>
                            <pic:cNvPicPr preferRelativeResize="0"/>
                          </pic:nvPicPr>
                          <pic:blipFill>
                            <a:blip r:embed="rId10"/>
                            <a:srcRect b="11100" l="0" r="0" t="3677"/>
                            <a:stretch>
                              <a:fillRect/>
                            </a:stretch>
                          </pic:blipFill>
                          <pic:spPr>
                            <a:xfrm>
                              <a:off x="0" y="0"/>
                              <a:ext cx="1304925" cy="1154543"/>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pPr>
            <w:hyperlink r:id="rId11">
              <w:r w:rsidDel="00000000" w:rsidR="00000000" w:rsidRPr="00000000">
                <w:rPr>
                  <w:color w:val="1155cc"/>
                  <w:u w:val="single"/>
                </w:rPr>
                <w:drawing>
                  <wp:inline distB="114300" distT="114300" distL="114300" distR="114300">
                    <wp:extent cx="1304925" cy="1154543"/>
                    <wp:effectExtent b="0" l="0" r="0" t="0"/>
                    <wp:docPr id="9" name="image10.png"/>
                    <a:graphic>
                      <a:graphicData uri="http://schemas.openxmlformats.org/drawingml/2006/picture">
                        <pic:pic>
                          <pic:nvPicPr>
                            <pic:cNvPr id="0" name="image10.png"/>
                            <pic:cNvPicPr preferRelativeResize="0"/>
                          </pic:nvPicPr>
                          <pic:blipFill>
                            <a:blip r:embed="rId12"/>
                            <a:srcRect b="11524" l="0" r="0" t="0"/>
                            <a:stretch>
                              <a:fillRect/>
                            </a:stretch>
                          </pic:blipFill>
                          <pic:spPr>
                            <a:xfrm>
                              <a:off x="0" y="0"/>
                              <a:ext cx="1304925" cy="1154543"/>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jc w:val="center"/>
              <w:rPr/>
            </w:pPr>
            <w:hyperlink r:id="rId13">
              <w:r w:rsidDel="00000000" w:rsidR="00000000" w:rsidRPr="00000000">
                <w:rPr>
                  <w:color w:val="1155cc"/>
                  <w:u w:val="single"/>
                </w:rPr>
                <w:drawing>
                  <wp:inline distB="114300" distT="114300" distL="114300" distR="114300">
                    <wp:extent cx="1333500" cy="1155700"/>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333500" cy="1155700"/>
                            </a:xfrm>
                            <a:prstGeom prst="rect"/>
                            <a:ln/>
                          </pic:spPr>
                        </pic:pic>
                      </a:graphicData>
                    </a:graphic>
                  </wp:inline>
                </w:drawing>
              </w:r>
            </w:hyperlink>
            <w:r w:rsidDel="00000000" w:rsidR="00000000" w:rsidRPr="00000000">
              <w:rPr>
                <w:rtl w:val="0"/>
              </w:rPr>
            </w:r>
          </w:p>
        </w:tc>
      </w:tr>
      <w:tr>
        <w:trPr>
          <w:cantSplit w:val="0"/>
          <w:trHeight w:val="425" w:hRule="atLeast"/>
          <w:tblHeader w:val="0"/>
        </w:trPr>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jc w:val="center"/>
              <w:rPr/>
            </w:pPr>
            <w:r w:rsidDel="00000000" w:rsidR="00000000" w:rsidRPr="00000000">
              <w:rPr>
                <w:rtl w:val="0"/>
              </w:rPr>
              <w:t xml:space="preserve">buditi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pPr>
            <w:r w:rsidDel="00000000" w:rsidR="00000000" w:rsidRPr="00000000">
              <w:rPr>
                <w:rtl w:val="0"/>
              </w:rPr>
              <w:t xml:space="preserve">umivati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pPr>
            <w:r w:rsidDel="00000000" w:rsidR="00000000" w:rsidRPr="00000000">
              <w:rPr>
                <w:rtl w:val="0"/>
              </w:rPr>
              <w:t xml:space="preserve">tuširati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center"/>
              <w:rPr/>
            </w:pPr>
            <w:r w:rsidDel="00000000" w:rsidR="00000000" w:rsidRPr="00000000">
              <w:rPr>
                <w:rtl w:val="0"/>
              </w:rPr>
              <w:t xml:space="preserve">prati zube</w:t>
            </w:r>
          </w:p>
        </w:tc>
      </w:tr>
      <w:tr>
        <w:trPr>
          <w:cantSplit w:val="0"/>
          <w:trHeight w:val="1205" w:hRule="atLeast"/>
          <w:tblHeader w:val="0"/>
        </w:trPr>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pPr>
            <w:hyperlink r:id="rId15">
              <w:r w:rsidDel="00000000" w:rsidR="00000000" w:rsidRPr="00000000">
                <w:rPr>
                  <w:color w:val="1155cc"/>
                  <w:u w:val="single"/>
                </w:rPr>
                <w:drawing>
                  <wp:inline distB="114300" distT="114300" distL="114300" distR="114300">
                    <wp:extent cx="1314450" cy="876300"/>
                    <wp:effectExtent b="0" l="0" r="0" t="0"/>
                    <wp:docPr id="1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314450" cy="8763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jc w:val="center"/>
              <w:rPr/>
            </w:pPr>
            <w:hyperlink r:id="rId17">
              <w:r w:rsidDel="00000000" w:rsidR="00000000" w:rsidRPr="00000000">
                <w:rPr>
                  <w:color w:val="1155cc"/>
                  <w:u w:val="single"/>
                </w:rPr>
                <w:drawing>
                  <wp:inline distB="114300" distT="114300" distL="114300" distR="114300">
                    <wp:extent cx="1090613" cy="838200"/>
                    <wp:effectExtent b="0" l="0" r="0" t="0"/>
                    <wp:docPr id="5" name="image2.png"/>
                    <a:graphic>
                      <a:graphicData uri="http://schemas.openxmlformats.org/drawingml/2006/picture">
                        <pic:pic>
                          <pic:nvPicPr>
                            <pic:cNvPr id="0" name="image2.png"/>
                            <pic:cNvPicPr preferRelativeResize="0"/>
                          </pic:nvPicPr>
                          <pic:blipFill>
                            <a:blip r:embed="rId18"/>
                            <a:srcRect b="0" l="0" r="35876" t="0"/>
                            <a:stretch>
                              <a:fillRect/>
                            </a:stretch>
                          </pic:blipFill>
                          <pic:spPr>
                            <a:xfrm>
                              <a:off x="0" y="0"/>
                              <a:ext cx="1090613" cy="8382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jc w:val="center"/>
              <w:rPr/>
            </w:pPr>
            <w:hyperlink r:id="rId19">
              <w:r w:rsidDel="00000000" w:rsidR="00000000" w:rsidRPr="00000000">
                <w:rPr>
                  <w:color w:val="1155cc"/>
                  <w:u w:val="single"/>
                </w:rPr>
                <w:drawing>
                  <wp:inline distB="114300" distT="114300" distL="114300" distR="114300">
                    <wp:extent cx="909638" cy="909638"/>
                    <wp:effectExtent b="0" l="0" r="0" t="0"/>
                    <wp:docPr id="1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909638" cy="909638"/>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pPr>
            <w:hyperlink r:id="rId21">
              <w:r w:rsidDel="00000000" w:rsidR="00000000" w:rsidRPr="00000000">
                <w:rPr>
                  <w:color w:val="1155cc"/>
                  <w:u w:val="single"/>
                </w:rPr>
                <w:drawing>
                  <wp:inline distB="114300" distT="114300" distL="114300" distR="114300">
                    <wp:extent cx="871538" cy="952466"/>
                    <wp:effectExtent b="0" l="0" r="0" t="0"/>
                    <wp:docPr id="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871538" cy="952466"/>
                            </a:xfrm>
                            <a:prstGeom prst="rect"/>
                            <a:ln/>
                          </pic:spPr>
                        </pic:pic>
                      </a:graphicData>
                    </a:graphic>
                  </wp:inline>
                </w:drawing>
              </w:r>
            </w:hyperlink>
            <w:r w:rsidDel="00000000" w:rsidR="00000000" w:rsidRPr="00000000">
              <w:rPr>
                <w:rtl w:val="0"/>
              </w:rPr>
            </w:r>
          </w:p>
        </w:tc>
      </w:tr>
      <w:tr>
        <w:trPr>
          <w:cantSplit w:val="0"/>
          <w:trHeight w:val="425" w:hRule="atLeast"/>
          <w:tblHeader w:val="0"/>
        </w:trPr>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pPr>
            <w:r w:rsidDel="00000000" w:rsidR="00000000" w:rsidRPr="00000000">
              <w:rPr>
                <w:rtl w:val="0"/>
              </w:rPr>
              <w:t xml:space="preserve">brijati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pPr>
            <w:r w:rsidDel="00000000" w:rsidR="00000000" w:rsidRPr="00000000">
              <w:rPr>
                <w:rtl w:val="0"/>
              </w:rPr>
              <w:t xml:space="preserve">šminkati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center"/>
              <w:rPr/>
            </w:pPr>
            <w:r w:rsidDel="00000000" w:rsidR="00000000" w:rsidRPr="00000000">
              <w:rPr>
                <w:rtl w:val="0"/>
              </w:rPr>
              <w:t xml:space="preserve">oblačiti se</w:t>
            </w:r>
          </w:p>
        </w:tc>
        <w:tc>
          <w:tcPr>
            <w:tcBorders>
              <w:top w:color="000000" w:space="0" w:sz="4" w:val="dotted"/>
              <w:left w:color="000000" w:space="0" w:sz="4" w:val="dotted"/>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jc w:val="center"/>
              <w:rPr/>
            </w:pPr>
            <w:r w:rsidDel="00000000" w:rsidR="00000000" w:rsidRPr="00000000">
              <w:rPr>
                <w:rtl w:val="0"/>
              </w:rPr>
              <w:t xml:space="preserve">češljati se</w:t>
            </w:r>
          </w:p>
        </w:tc>
      </w:tr>
    </w:tbl>
    <w:p w:rsidR="00000000" w:rsidDel="00000000" w:rsidP="00000000" w:rsidRDefault="00000000" w:rsidRPr="00000000" w14:paraId="00000026">
      <w:pPr>
        <w:pStyle w:val="Heading3"/>
        <w:rPr/>
      </w:pPr>
      <w:bookmarkStart w:colFirst="0" w:colLast="0" w:name="_z5njk0vzg921" w:id="4"/>
      <w:bookmarkEnd w:id="4"/>
      <w:r w:rsidDel="00000000" w:rsidR="00000000" w:rsidRPr="00000000">
        <w:rPr>
          <w:rtl w:val="0"/>
        </w:rPr>
        <w:t xml:space="preserve">| Group 1: Regular (expected) endings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–ati verbs</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t xml:space="preserve">Word order – with a personal pronoun</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Word order – without a personal pronoun</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češljati se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ja se češljam</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češljam se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umivati se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ja se </w:t>
            </w:r>
            <w:r w:rsidDel="00000000" w:rsidR="00000000" w:rsidRPr="00000000">
              <w:rPr>
                <w:rtl w:val="0"/>
              </w:rPr>
              <w:t xml:space="preserve">umivam</w:t>
            </w: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umivam se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tuširati se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ja se tuširam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tuširam se</w:t>
            </w:r>
          </w:p>
        </w:tc>
      </w:tr>
      <w:tr>
        <w:trPr>
          <w:cantSplit w:val="0"/>
          <w:tblHeader w:val="0"/>
        </w:trPr>
        <w:tc>
          <w:tcPr>
            <w:tcBorders>
              <w:top w:color="000000" w:space="0" w:sz="4" w:val="dotted"/>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šminkati se</w:t>
            </w:r>
          </w:p>
        </w:tc>
        <w:tc>
          <w:tcPr>
            <w:tcBorders>
              <w:top w:color="000000" w:space="0" w:sz="4" w:val="dotted"/>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ja se šminkam</w:t>
            </w:r>
          </w:p>
        </w:tc>
        <w:tc>
          <w:tcPr>
            <w:tcBorders>
              <w:top w:color="000000" w:space="0" w:sz="4" w:val="dotted"/>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šminkam se</w:t>
            </w:r>
          </w:p>
        </w:tc>
      </w:tr>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–iti verbs</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r w:rsidDel="00000000" w:rsidR="00000000" w:rsidRPr="00000000">
              <w:rPr>
                <w:rtl w:val="0"/>
              </w:rPr>
              <w:t xml:space="preserve">Word order – with a personal pronoun</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t xml:space="preserve">Word order – without a personal pronoun</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buditi se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ja se budim</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budim se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oblačiti se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ja se oblačim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oblačim se</w:t>
            </w:r>
          </w:p>
        </w:tc>
      </w:tr>
    </w:tbl>
    <w:p w:rsidR="00000000" w:rsidDel="00000000" w:rsidP="00000000" w:rsidRDefault="00000000" w:rsidRPr="00000000" w14:paraId="0000003F">
      <w:pPr>
        <w:pStyle w:val="Heading3"/>
        <w:rPr/>
      </w:pPr>
      <w:bookmarkStart w:colFirst="0" w:colLast="0" w:name="_yvto2fmeyq4t" w:id="5"/>
      <w:bookmarkEnd w:id="5"/>
      <w:r w:rsidDel="00000000" w:rsidR="00000000" w:rsidRPr="00000000">
        <w:rPr>
          <w:rtl w:val="0"/>
        </w:rPr>
        <w:t xml:space="preserve">| Group 2: Irregular (unexpected) endings</w:t>
      </w:r>
    </w:p>
    <w:p w:rsidR="00000000" w:rsidDel="00000000" w:rsidP="00000000" w:rsidRDefault="00000000" w:rsidRPr="00000000" w14:paraId="00000040">
      <w:pPr>
        <w:rPr/>
      </w:pPr>
      <w:r w:rsidDel="00000000" w:rsidR="00000000" w:rsidRPr="00000000">
        <w:rPr>
          <w:rtl w:val="0"/>
        </w:rPr>
        <w:t xml:space="preserve">These verbs use a different set of endings than what their infinitive ending would suggest.</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t xml:space="preserve">–ati verbs</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Word order – with a personal pronoun</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r w:rsidDel="00000000" w:rsidR="00000000" w:rsidRPr="00000000">
              <w:rPr>
                <w:rtl w:val="0"/>
              </w:rPr>
              <w:t xml:space="preserve">Word order – without a personal pronoun</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brijati se</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ja se brijem</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brijem se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prati se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ja se perem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perem se</w:t>
            </w:r>
          </w:p>
        </w:tc>
      </w:tr>
    </w:tbl>
    <w:p w:rsidR="00000000" w:rsidDel="00000000" w:rsidP="00000000" w:rsidRDefault="00000000" w:rsidRPr="00000000" w14:paraId="0000004A">
      <w:pPr>
        <w:pStyle w:val="Heading1"/>
        <w:rPr/>
      </w:pPr>
      <w:bookmarkStart w:colFirst="0" w:colLast="0" w:name="_y9bhqwuw6aoc" w:id="6"/>
      <w:bookmarkEnd w:id="6"/>
      <w:r w:rsidDel="00000000" w:rsidR="00000000" w:rsidRPr="00000000">
        <w:rPr>
          <w:color w:val="cc2909"/>
          <w:rtl w:val="0"/>
        </w:rPr>
        <w:t xml:space="preserve">|</w:t>
      </w:r>
      <w:r w:rsidDel="00000000" w:rsidR="00000000" w:rsidRPr="00000000">
        <w:rPr>
          <w:rtl w:val="0"/>
        </w:rPr>
        <w:t xml:space="preserve"> The verb BRIJATI (SE)</w:t>
      </w:r>
    </w:p>
    <w:p w:rsidR="00000000" w:rsidDel="00000000" w:rsidP="00000000" w:rsidRDefault="00000000" w:rsidRPr="00000000" w14:paraId="0000004B">
      <w:pPr>
        <w:rPr/>
      </w:pPr>
      <w:r w:rsidDel="00000000" w:rsidR="00000000" w:rsidRPr="00000000">
        <w:rPr>
          <w:rtl w:val="0"/>
        </w:rPr>
        <w:t xml:space="preserve">Verb </w:t>
      </w:r>
      <w:r w:rsidDel="00000000" w:rsidR="00000000" w:rsidRPr="00000000">
        <w:rPr>
          <w:i w:val="1"/>
          <w:iCs w:val="1"/>
          <w:rtl w:val="0"/>
        </w:rPr>
        <w:t xml:space="preserve">brijati se:</w:t>
      </w:r>
      <w:r w:rsidDel="00000000" w:rsidR="00000000" w:rsidRPr="00000000">
        <w:rPr>
          <w:rtl w:val="0"/>
        </w:rPr>
        <w:t xml:space="preserve"> when we cut the infinitive ending -ati, what is left is brij–. Thus, since the infinitive stem ends in -j- (one of the Croatian palatal letters), we need to use the endings -em, -eš, -e, etc.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b w:val="1"/>
                <w:bCs w:val="1"/>
                <w:color w:val="ffffff"/>
              </w:rPr>
            </w:pPr>
            <w:r w:rsidDel="00000000" w:rsidR="00000000" w:rsidRPr="00000000">
              <w:rPr>
                <w:b w:val="1"/>
                <w:bCs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b w:val="1"/>
                <w:bCs w:val="1"/>
                <w:color w:val="ffffff"/>
              </w:rPr>
            </w:pPr>
            <w:r w:rsidDel="00000000" w:rsidR="00000000" w:rsidRPr="00000000">
              <w:rPr>
                <w:b w:val="1"/>
                <w:bCs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hyperlink r:id="rId2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t xml:space="preserve">brij-</w:t>
            </w:r>
            <w:r w:rsidDel="00000000" w:rsidR="00000000" w:rsidRPr="00000000">
              <w:rPr>
                <w:b w:val="1"/>
                <w:bCs w:val="1"/>
                <w:rtl w:val="0"/>
              </w:rPr>
              <w:t xml:space="preserve">em</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hyperlink r:id="rId24">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r w:rsidDel="00000000" w:rsidR="00000000" w:rsidRPr="00000000">
              <w:rPr>
                <w:rtl w:val="0"/>
              </w:rPr>
              <w:t xml:space="preserve">brij-</w:t>
            </w:r>
            <w:r w:rsidDel="00000000" w:rsidR="00000000" w:rsidRPr="00000000">
              <w:rPr>
                <w:b w:val="1"/>
                <w:bCs w:val="1"/>
                <w:rtl w:val="0"/>
              </w:rPr>
              <w:t xml:space="preserve">emo</w:t>
            </w:r>
            <w:r w:rsidDel="00000000" w:rsidR="00000000" w:rsidRPr="00000000">
              <w:rPr>
                <w:rtl w:val="0"/>
              </w:rPr>
              <w:t xml:space="preserve">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hyperlink r:id="rId25">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t xml:space="preserve">brij-</w:t>
            </w:r>
            <w:r w:rsidDel="00000000" w:rsidR="00000000" w:rsidRPr="00000000">
              <w:rPr>
                <w:b w:val="1"/>
                <w:bCs w:val="1"/>
                <w:rtl w:val="0"/>
              </w:rPr>
              <w:t xml:space="preserve">eš</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B">
            <w:pPr>
              <w:spacing w:line="240" w:lineRule="auto"/>
              <w:rPr/>
            </w:pPr>
            <w:hyperlink r:id="rId2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pPr>
            <w:r w:rsidDel="00000000" w:rsidR="00000000" w:rsidRPr="00000000">
              <w:rPr>
                <w:rtl w:val="0"/>
              </w:rPr>
              <w:t xml:space="preserve">brij-</w:t>
            </w:r>
            <w:r w:rsidDel="00000000" w:rsidR="00000000" w:rsidRPr="00000000">
              <w:rPr>
                <w:b w:val="1"/>
                <w:bCs w:val="1"/>
                <w:rtl w:val="0"/>
              </w:rPr>
              <w:t xml:space="preserve">ete</w:t>
            </w:r>
            <w:r w:rsidDel="00000000" w:rsidR="00000000" w:rsidRPr="00000000">
              <w:rPr>
                <w:rtl w:val="0"/>
              </w:rPr>
              <w:t xml:space="preserve">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spacing w:line="240" w:lineRule="auto"/>
              <w:rPr/>
            </w:pPr>
            <w:hyperlink r:id="rId2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60">
            <w:pPr>
              <w:spacing w:line="240" w:lineRule="auto"/>
              <w:rPr/>
            </w:pPr>
            <w:r w:rsidDel="00000000" w:rsidR="00000000" w:rsidRPr="00000000">
              <w:rPr>
                <w:rtl w:val="0"/>
              </w:rPr>
              <w:t xml:space="preserve">brij-</w:t>
            </w:r>
            <w:r w:rsidDel="00000000" w:rsidR="00000000" w:rsidRPr="00000000">
              <w:rPr>
                <w:b w:val="1"/>
                <w:bCs w:val="1"/>
                <w:rtl w:val="0"/>
              </w:rPr>
              <w:t xml:space="preserve">e</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1">
            <w:pPr>
              <w:spacing w:line="240" w:lineRule="auto"/>
              <w:rPr/>
            </w:pPr>
            <w:hyperlink r:id="rId2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2">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brij-</w:t>
            </w:r>
            <w:r w:rsidDel="00000000" w:rsidR="00000000" w:rsidRPr="00000000">
              <w:rPr>
                <w:b w:val="1"/>
                <w:bCs w:val="1"/>
                <w:rtl w:val="0"/>
              </w:rPr>
              <w:t xml:space="preserve">u</w:t>
            </w:r>
            <w:r w:rsidDel="00000000" w:rsidR="00000000" w:rsidRPr="00000000">
              <w:rPr>
                <w:rtl w:val="0"/>
              </w:rPr>
              <w:t xml:space="preserve"> se</w:t>
            </w:r>
          </w:p>
        </w:tc>
      </w:tr>
    </w:tbl>
    <w:p w:rsidR="00000000" w:rsidDel="00000000" w:rsidP="00000000" w:rsidRDefault="00000000" w:rsidRPr="00000000" w14:paraId="00000064">
      <w:pPr>
        <w:pStyle w:val="Heading1"/>
        <w:rPr/>
      </w:pPr>
      <w:bookmarkStart w:colFirst="0" w:colLast="0" w:name="_e5efkbcvmlgp" w:id="7"/>
      <w:bookmarkEnd w:id="7"/>
      <w:r w:rsidDel="00000000" w:rsidR="00000000" w:rsidRPr="00000000">
        <w:rPr>
          <w:color w:val="cc2909"/>
          <w:rtl w:val="0"/>
        </w:rPr>
        <w:t xml:space="preserve">|</w:t>
      </w:r>
      <w:r w:rsidDel="00000000" w:rsidR="00000000" w:rsidRPr="00000000">
        <w:rPr>
          <w:rtl w:val="0"/>
        </w:rPr>
        <w:t xml:space="preserve"> The verb PRATI (SE)</w:t>
      </w:r>
    </w:p>
    <w:p w:rsidR="00000000" w:rsidDel="00000000" w:rsidP="00000000" w:rsidRDefault="00000000" w:rsidRPr="00000000" w14:paraId="00000065">
      <w:pPr>
        <w:rPr/>
      </w:pPr>
      <w:r w:rsidDel="00000000" w:rsidR="00000000" w:rsidRPr="00000000">
        <w:rPr>
          <w:rtl w:val="0"/>
        </w:rPr>
        <w:t xml:space="preserve">Verb prati se: when we cut the infinitive ending -ati, what is left is pr–. Thus, since the infinitive stem has only one syllable composed of two consonants, we need to add -e- between pr– (for easier pronunciation) and then add the endings -em, -eš, -e, etc.</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b w:val="1"/>
                <w:bCs w:val="1"/>
                <w:color w:val="ffffff"/>
              </w:rPr>
            </w:pPr>
            <w:r w:rsidDel="00000000" w:rsidR="00000000" w:rsidRPr="00000000">
              <w:rPr>
                <w:b w:val="1"/>
                <w:bCs w:val="1"/>
                <w:color w:val="ffffff"/>
                <w:rtl w:val="0"/>
              </w:rPr>
              <w:t xml:space="preserve">SINGULAR</w:t>
            </w:r>
          </w:p>
        </w:tc>
        <w:tc>
          <w:tcPr>
            <w:gridSpan w:val="3"/>
            <w:tcBorders>
              <w:top w:color="ffffff" w:space="0" w:sz="8" w:val="single"/>
              <w:left w:color="ffffff"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b w:val="1"/>
                <w:bCs w:val="1"/>
                <w:color w:val="ffffff"/>
              </w:rPr>
            </w:pPr>
            <w:r w:rsidDel="00000000" w:rsidR="00000000" w:rsidRPr="00000000">
              <w:rPr>
                <w:b w:val="1"/>
                <w:bCs w:val="1"/>
                <w:color w:val="ffffff"/>
                <w:rtl w:val="0"/>
              </w:rPr>
              <w:t xml:space="preserve">PLURAL</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hyperlink r:id="rId2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t xml:space="preserve">ja </w:t>
            </w:r>
          </w:p>
        </w:tc>
        <w:tc>
          <w:tcPr>
            <w:tcBorders>
              <w:top w:color="000000" w:space="0" w:sz="0" w:val="nil"/>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em</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hyperlink r:id="rId3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0">
            <w:pPr>
              <w:spacing w:line="240" w:lineRule="auto"/>
              <w:rPr/>
            </w:pPr>
            <w:r w:rsidDel="00000000" w:rsidR="00000000" w:rsidRPr="00000000">
              <w:rPr>
                <w:rtl w:val="0"/>
              </w:rPr>
              <w:t xml:space="preserve">mi </w:t>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emo</w:t>
            </w:r>
            <w:r w:rsidDel="00000000" w:rsidR="00000000" w:rsidRPr="00000000">
              <w:rPr>
                <w:rtl w:val="0"/>
              </w:rPr>
              <w:t xml:space="preserve">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hyperlink r:id="rId3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t xml:space="preserve">ti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eš</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5">
            <w:pPr>
              <w:spacing w:line="240" w:lineRule="auto"/>
              <w:rPr/>
            </w:pPr>
            <w:hyperlink r:id="rId3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t xml:space="preserve">vi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ete</w:t>
            </w:r>
            <w:r w:rsidDel="00000000" w:rsidR="00000000" w:rsidRPr="00000000">
              <w:rPr>
                <w:rtl w:val="0"/>
              </w:rPr>
              <w:t xml:space="preserve"> se</w:t>
            </w:r>
          </w:p>
        </w:tc>
      </w:tr>
      <w:tr>
        <w:trPr>
          <w:cantSplit w:val="0"/>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pPr>
            <w:hyperlink r:id="rId3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r w:rsidDel="00000000" w:rsidR="00000000" w:rsidRPr="00000000">
              <w:rPr>
                <w:rtl w:val="0"/>
              </w:rPr>
              <w:t xml:space="preserve">on/-a/-o </w:t>
            </w:r>
          </w:p>
        </w:tc>
        <w:tc>
          <w:tcPr>
            <w:tcBorders>
              <w:top w:color="000000" w:space="0" w:sz="4" w:val="single"/>
              <w:left w:color="000000" w:space="0" w:sz="0" w:val="nil"/>
              <w:bottom w:color="000000" w:space="0" w:sz="4" w:val="single"/>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e</w:t>
            </w:r>
            <w:r w:rsidDel="00000000" w:rsidR="00000000" w:rsidRPr="00000000">
              <w:rPr>
                <w:rtl w:val="0"/>
              </w:rPr>
              <w:t xml:space="preserve"> se</w:t>
            </w:r>
          </w:p>
        </w:tc>
        <w:tc>
          <w:tcPr>
            <w:tcBorders>
              <w:top w:color="000000" w:space="0" w:sz="0" w:val="nil"/>
              <w:left w:color="000000" w:space="0" w:sz="4" w:val="dotted"/>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B">
            <w:pPr>
              <w:spacing w:line="240" w:lineRule="auto"/>
              <w:rPr/>
            </w:pPr>
            <w:hyperlink r:id="rId34">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t xml:space="preserve">oni/-e/-a </w:t>
            </w:r>
          </w:p>
        </w:tc>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pPr>
            <w:r w:rsidDel="00000000" w:rsidR="00000000" w:rsidRPr="00000000">
              <w:rPr>
                <w:rtl w:val="0"/>
              </w:rPr>
              <w:t xml:space="preserve">p-</w:t>
            </w:r>
            <w:r w:rsidDel="00000000" w:rsidR="00000000" w:rsidRPr="00000000">
              <w:rPr>
                <w:b w:val="1"/>
                <w:bCs w:val="1"/>
                <w:color w:val="ff0000"/>
                <w:rtl w:val="0"/>
              </w:rPr>
              <w:t xml:space="preserve">e</w:t>
            </w:r>
            <w:r w:rsidDel="00000000" w:rsidR="00000000" w:rsidRPr="00000000">
              <w:rPr>
                <w:rtl w:val="0"/>
              </w:rPr>
              <w:t xml:space="preserve">-r-</w:t>
            </w:r>
            <w:r w:rsidDel="00000000" w:rsidR="00000000" w:rsidRPr="00000000">
              <w:rPr>
                <w:b w:val="1"/>
                <w:bCs w:val="1"/>
                <w:rtl w:val="0"/>
              </w:rPr>
              <w:t xml:space="preserve">u</w:t>
            </w:r>
            <w:r w:rsidDel="00000000" w:rsidR="00000000" w:rsidRPr="00000000">
              <w:rPr>
                <w:rtl w:val="0"/>
              </w:rPr>
              <w:t xml:space="preserve"> se</w:t>
            </w:r>
          </w:p>
        </w:tc>
      </w:tr>
    </w:tbl>
    <w:p w:rsidR="00000000" w:rsidDel="00000000" w:rsidP="00000000" w:rsidRDefault="00000000" w:rsidRPr="00000000" w14:paraId="0000007E">
      <w:pPr>
        <w:pStyle w:val="Heading1"/>
        <w:rPr/>
      </w:pPr>
      <w:bookmarkStart w:colFirst="0" w:colLast="0" w:name="_bludv5mfsf1w" w:id="8"/>
      <w:bookmarkEnd w:id="8"/>
      <w:r w:rsidDel="00000000" w:rsidR="00000000" w:rsidRPr="00000000">
        <w:rPr>
          <w:color w:val="cc2909"/>
          <w:rtl w:val="0"/>
        </w:rPr>
        <w:t xml:space="preserve">|</w:t>
      </w:r>
      <w:r w:rsidDel="00000000" w:rsidR="00000000" w:rsidRPr="00000000">
        <w:rPr>
          <w:rtl w:val="0"/>
        </w:rPr>
        <w:t xml:space="preserve"> Reflexive or not? When to use them?</w:t>
      </w:r>
    </w:p>
    <w:p w:rsidR="00000000" w:rsidDel="00000000" w:rsidP="00000000" w:rsidRDefault="00000000" w:rsidRPr="00000000" w14:paraId="0000007F">
      <w:pPr>
        <w:rPr/>
      </w:pPr>
      <w:r w:rsidDel="00000000" w:rsidR="00000000" w:rsidRPr="00000000">
        <w:rPr>
          <w:rtl w:val="0"/>
        </w:rPr>
        <w:t xml:space="preserve">All of the above verbs can be either reflexive or not. The difference is: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720"/>
        <w:tblGridChange w:id="0">
          <w:tblGrid>
            <w:gridCol w:w="2640"/>
            <w:gridCol w:w="6720"/>
          </w:tblGrid>
        </w:tblGridChange>
      </w:tblGrid>
      <w:tr>
        <w:trPr>
          <w:cantSplit w:val="0"/>
          <w:tblHeader w:val="0"/>
        </w:trPr>
        <w:tc>
          <w:tcPr>
            <w:tcBorders>
              <w:top w:color="000000" w:space="0" w:sz="0" w:val="nil"/>
              <w:left w:color="000000" w:space="0" w:sz="0" w:val="nil"/>
              <w:bottom w:color="5d8eaf" w:space="0" w:sz="18" w:val="single"/>
              <w:right w:color="5d8eaf"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t xml:space="preserve">Reflexive verb</w:t>
            </w:r>
          </w:p>
        </w:tc>
        <w:tc>
          <w:tcPr>
            <w:tcBorders>
              <w:top w:color="000000" w:space="0" w:sz="0" w:val="nil"/>
              <w:left w:color="5d8eaf" w:space="0" w:sz="18" w:val="single"/>
              <w:bottom w:color="5d8eaf" w:space="0" w:sz="1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spacing w:line="240" w:lineRule="auto"/>
              <w:rPr/>
            </w:pPr>
            <w:r w:rsidDel="00000000" w:rsidR="00000000" w:rsidRPr="00000000">
              <w:rPr>
                <w:rtl w:val="0"/>
              </w:rPr>
              <w:t xml:space="preserve">It means the action comes back to the subject. The subject of the verb is also its object. When we take a shower (tuširati se), we shower ourselves, when we put on makeup (šminkati se), we make up ourselves, when we wake up (buditi se), we wake ourselves up. </w:t>
            </w:r>
          </w:p>
        </w:tc>
      </w:tr>
      <w:tr>
        <w:trPr>
          <w:cantSplit w:val="0"/>
          <w:tblHeader w:val="0"/>
        </w:trPr>
        <w:tc>
          <w:tcPr>
            <w:tcBorders>
              <w:top w:color="5d8eaf" w:space="0" w:sz="18" w:val="single"/>
              <w:left w:color="000000" w:space="0" w:sz="0" w:val="nil"/>
              <w:bottom w:color="000000" w:space="0" w:sz="0" w:val="nil"/>
              <w:right w:color="5d8eaf"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t xml:space="preserve">NOT reflexive verb</w:t>
            </w:r>
          </w:p>
        </w:tc>
        <w:tc>
          <w:tcPr>
            <w:tcBorders>
              <w:top w:color="5d8eaf" w:space="0" w:sz="18" w:val="single"/>
              <w:left w:color="5d8eaf" w:space="0" w:sz="18"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spacing w:line="240" w:lineRule="auto"/>
              <w:rPr/>
            </w:pPr>
            <w:r w:rsidDel="00000000" w:rsidR="00000000" w:rsidRPr="00000000">
              <w:rPr>
                <w:rtl w:val="0"/>
              </w:rPr>
              <w:t xml:space="preserve">It means the subject (of the verb) performs the action on something or someone else (i.e., the subject and object of the verb are different).</w:t>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2"/>
        <w:spacing w:line="240" w:lineRule="auto"/>
        <w:rPr/>
      </w:pPr>
      <w:bookmarkStart w:colFirst="0" w:colLast="0" w:name="_q3bm461slcj8" w:id="9"/>
      <w:bookmarkEnd w:id="9"/>
      <w:r w:rsidDel="00000000" w:rsidR="00000000" w:rsidRPr="00000000">
        <w:rPr>
          <w:color w:val="f98070"/>
          <w:rtl w:val="0"/>
        </w:rPr>
        <w:t xml:space="preserve">|</w:t>
      </w:r>
      <w:r w:rsidDel="00000000" w:rsidR="00000000" w:rsidRPr="00000000">
        <w:rPr>
          <w:rtl w:val="0"/>
        </w:rPr>
        <w:t xml:space="preserve"> Let’s look at the following sentence:</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Ja se perem ujutro. </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I shower (</w:t>
            </w:r>
            <w:r w:rsidDel="00000000" w:rsidR="00000000" w:rsidRPr="00000000">
              <w:rPr>
                <w:rtl w:val="0"/>
              </w:rPr>
              <w:t xml:space="preserve">myself</w:t>
            </w:r>
            <w:r w:rsidDel="00000000" w:rsidR="00000000" w:rsidRPr="00000000">
              <w:rPr>
                <w:rtl w:val="0"/>
              </w:rPr>
              <w:t xml:space="preserve">) in the morning.</w:t>
            </w:r>
          </w:p>
        </w:tc>
      </w:tr>
      <w:tr>
        <w:trPr>
          <w:cantSplit w:val="0"/>
          <w:tblHeader w:val="0"/>
        </w:trPr>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Ja perem zube ujutro.</w:t>
            </w:r>
          </w:p>
        </w:tc>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I brush my teeth in the morning.</w:t>
            </w:r>
          </w:p>
        </w:tc>
      </w:tr>
      <w:tr>
        <w:trPr>
          <w:cantSplit w:val="0"/>
          <w:tblHeader w:val="0"/>
        </w:trPr>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Ja se uvijek budim u 7:00.</w:t>
            </w:r>
          </w:p>
        </w:tc>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I always wake (myself) up at 7am.</w:t>
            </w:r>
          </w:p>
        </w:tc>
      </w:tr>
      <w:tr>
        <w:trPr>
          <w:cantSplit w:val="0"/>
          <w:tblHeader w:val="0"/>
        </w:trPr>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Ja budim sestru u 7:00 svaki dan.</w:t>
            </w:r>
          </w:p>
        </w:tc>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I wake my sister up at 7am every day.</w:t>
            </w:r>
          </w:p>
        </w:tc>
      </w:tr>
      <w:tr>
        <w:trPr>
          <w:cantSplit w:val="0"/>
          <w:tblHeader w:val="0"/>
        </w:trPr>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Ja se češljam ujutro.</w:t>
            </w:r>
          </w:p>
        </w:tc>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I comb my (own) hair in the morning.</w:t>
            </w:r>
          </w:p>
        </w:tc>
      </w:tr>
      <w:tr>
        <w:trPr>
          <w:cantSplit w:val="0"/>
          <w:tblHeader w:val="0"/>
        </w:trPr>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Ja češljam sestru ujutro.</w:t>
            </w:r>
          </w:p>
        </w:tc>
        <w:tc>
          <w:tcPr>
            <w:tcBorders>
              <w:top w:color="000000" w:space="0" w:sz="4" w:val="dotted"/>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I comb my sister’s hair in the morning.</w:t>
            </w:r>
          </w:p>
        </w:tc>
      </w:tr>
      <w:tr>
        <w:trPr>
          <w:cantSplit w:val="0"/>
          <w:tblHeader w:val="0"/>
        </w:trPr>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Ja se šminkam svaki dan.</w:t>
            </w:r>
          </w:p>
        </w:tc>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I put makeup on (myself) every day.</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Ja šminkam sestru svaki dan.</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I put makeup on my sister every day.</w:t>
            </w:r>
          </w:p>
        </w:tc>
      </w:tr>
    </w:tbl>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t xml:space="preserve">As you can see, all the sentences that DON’T have a reflexive verb use the Accusative case, indicating that the person performing the action is performed on someone/something else.</w:t>
      </w:r>
    </w:p>
    <w:p w:rsidR="00000000" w:rsidDel="00000000" w:rsidP="00000000" w:rsidRDefault="00000000" w:rsidRPr="00000000" w14:paraId="00000098">
      <w:pPr>
        <w:pStyle w:val="Heading1"/>
        <w:rPr>
          <w:color w:val="cc2909"/>
        </w:rPr>
      </w:pPr>
      <w:bookmarkStart w:colFirst="0" w:colLast="0" w:name="_8ahzu6s1wech" w:id="10"/>
      <w:bookmarkEnd w:id="10"/>
      <w:r w:rsidDel="00000000" w:rsidR="00000000" w:rsidRPr="00000000">
        <w:rPr>
          <w:color w:val="cc2909"/>
          <w:rtl w:val="0"/>
        </w:rPr>
        <w:t xml:space="preserve">9.1 Zadatak 3. Što radiš?</w:t>
      </w:r>
    </w:p>
    <w:p w:rsidR="00000000" w:rsidDel="00000000" w:rsidP="00000000" w:rsidRDefault="00000000" w:rsidRPr="00000000" w14:paraId="00000099">
      <w:pPr>
        <w:rPr/>
      </w:pPr>
      <w:r w:rsidDel="00000000" w:rsidR="00000000" w:rsidRPr="00000000">
        <w:rPr>
          <w:rtl w:val="0"/>
        </w:rPr>
        <w:t xml:space="preserve">Look at the following pictures. Complete the sentences in a logical way using the </w:t>
      </w:r>
      <w:r w:rsidDel="00000000" w:rsidR="00000000" w:rsidRPr="00000000">
        <w:rPr>
          <w:b w:val="1"/>
          <w:bCs w:val="1"/>
          <w:i w:val="1"/>
          <w:iCs w:val="1"/>
          <w:rtl w:val="0"/>
        </w:rPr>
        <w:t xml:space="preserve">ja</w:t>
      </w:r>
      <w:r w:rsidDel="00000000" w:rsidR="00000000" w:rsidRPr="00000000">
        <w:rPr>
          <w:rtl w:val="0"/>
        </w:rPr>
        <w:t xml:space="preserve"> form. Then, indicate whether the verb is reflexive or not.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5">
              <w:r w:rsidDel="00000000" w:rsidR="00000000" w:rsidRPr="00000000">
                <w:rPr>
                  <w:color w:val="1155cc"/>
                  <w:u w:val="single"/>
                </w:rPr>
                <w:drawing>
                  <wp:inline distB="114300" distT="114300" distL="114300" distR="114300">
                    <wp:extent cx="2838450" cy="1879600"/>
                    <wp:effectExtent b="0" l="0" r="0" t="0"/>
                    <wp:docPr id="11"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7">
              <w:r w:rsidDel="00000000" w:rsidR="00000000" w:rsidRPr="00000000">
                <w:rPr>
                  <w:color w:val="1155cc"/>
                  <w:u w:val="single"/>
                </w:rPr>
                <w:drawing>
                  <wp:inline distB="114300" distT="114300" distL="114300" distR="114300">
                    <wp:extent cx="2838450" cy="1892300"/>
                    <wp:effectExtent b="0" l="0" r="0" t="0"/>
                    <wp:docPr id="3"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b w:val="1"/>
                <w:bCs w:val="1"/>
                <w:i w:val="1"/>
                <w:iCs w:val="1"/>
                <w:rtl w:val="0"/>
              </w:rPr>
              <w:t xml:space="preserve">Brijem</w:t>
            </w:r>
            <w:r w:rsidDel="00000000" w:rsidR="00000000" w:rsidRPr="00000000">
              <w:rPr>
                <w:i w:val="1"/>
                <w:iCs w:val="1"/>
                <w:rtl w:val="0"/>
              </w:rPr>
              <w:t xml:space="preserve"> glavu, vruće je ljeti.</w:t>
            </w:r>
          </w:p>
          <w:p w:rsidR="00000000" w:rsidDel="00000000" w:rsidP="00000000" w:rsidRDefault="00000000" w:rsidRPr="00000000" w14:paraId="0000009D">
            <w:pPr>
              <w:widowControl w:val="0"/>
              <w:spacing w:line="240" w:lineRule="auto"/>
              <w:jc w:val="center"/>
              <w:rPr>
                <w:i w:val="1"/>
                <w:iCs w:val="1"/>
              </w:rPr>
            </w:pPr>
            <w:r w:rsidDel="00000000" w:rsidR="00000000" w:rsidRPr="00000000">
              <w:rPr>
                <w:b w:val="1"/>
                <w:bCs w:val="1"/>
                <w:rtl w:val="0"/>
              </w:rPr>
              <w:t xml:space="preserve">Brijati</w:t>
            </w:r>
            <w:r w:rsidDel="00000000" w:rsidR="00000000" w:rsidRPr="00000000">
              <w:rPr>
                <w:rtl w:val="0"/>
              </w:rPr>
              <w:t xml:space="preserve"> - not a reflexive verb</w:t>
            </w:r>
            <w:r w:rsidDel="00000000" w:rsidR="00000000" w:rsidRPr="00000000">
              <w:rPr>
                <w:rtl w:val="0"/>
              </w:rPr>
            </w:r>
          </w:p>
        </w:tc>
        <w:tc>
          <w:tcPr>
            <w:tcBorders>
              <w:top w:color="000000" w:space="0" w:sz="0" w:val="nil"/>
              <w:left w:color="ffffff" w:space="0" w:sz="48"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Ja </w:t>
            </w:r>
            <w:r w:rsidDel="00000000" w:rsidR="00000000" w:rsidRPr="00000000">
              <w:rPr>
                <w:b w:val="1"/>
                <w:bCs w:val="1"/>
                <w:i w:val="1"/>
                <w:iCs w:val="1"/>
                <w:rtl w:val="0"/>
              </w:rPr>
              <w:t xml:space="preserve">se brijem</w:t>
            </w:r>
            <w:r w:rsidDel="00000000" w:rsidR="00000000" w:rsidRPr="00000000">
              <w:rPr>
                <w:i w:val="1"/>
                <w:iCs w:val="1"/>
                <w:rtl w:val="0"/>
              </w:rPr>
              <w:t xml:space="preserve"> svako jutro. </w:t>
            </w:r>
          </w:p>
          <w:p w:rsidR="00000000" w:rsidDel="00000000" w:rsidP="00000000" w:rsidRDefault="00000000" w:rsidRPr="00000000" w14:paraId="0000009F">
            <w:pPr>
              <w:widowControl w:val="0"/>
              <w:spacing w:line="240" w:lineRule="auto"/>
              <w:jc w:val="center"/>
              <w:rPr>
                <w:i w:val="1"/>
                <w:iCs w:val="1"/>
              </w:rPr>
            </w:pPr>
            <w:r w:rsidDel="00000000" w:rsidR="00000000" w:rsidRPr="00000000">
              <w:rPr>
                <w:b w:val="1"/>
                <w:bCs w:val="1"/>
                <w:rtl w:val="0"/>
              </w:rPr>
              <w:t xml:space="preserve">Brijati se</w:t>
            </w:r>
            <w:r w:rsidDel="00000000" w:rsidR="00000000" w:rsidRPr="00000000">
              <w:rPr>
                <w:rtl w:val="0"/>
              </w:rPr>
              <w:t xml:space="preserve"> - reflexive </w:t>
            </w:r>
            <w:r w:rsidDel="00000000" w:rsidR="00000000" w:rsidRPr="00000000">
              <w:rPr>
                <w:rtl w:val="0"/>
              </w:rPr>
              <w:t xml:space="preserve">verb</w:t>
            </w: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t xml:space="preserve">[h5p id="834"]</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Images used in this document are from </w:t>
      </w:r>
      <w:hyperlink r:id="rId39">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A3">
      <w:pPr>
        <w:rPr/>
      </w:pPr>
      <w:r w:rsidDel="00000000" w:rsidR="00000000" w:rsidRPr="00000000">
        <w:rPr>
          <w:rtl w:val="0"/>
        </w:rPr>
      </w:r>
    </w:p>
    <w:sectPr>
      <w:headerReference r:id="rId40" w:type="default"/>
      <w:foot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drawing>
        <wp:inline distB="114300" distT="114300" distL="114300" distR="114300">
          <wp:extent cx="941832" cy="329641"/>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1: Gramatika</w:t>
    </w:r>
  </w:p>
  <w:p w:rsidR="00000000" w:rsidDel="00000000" w:rsidP="00000000" w:rsidRDefault="00000000" w:rsidRPr="00000000" w14:paraId="000000A5">
    <w:pPr>
      <w:jc w:val="right"/>
      <w:rPr>
        <w:i w:val="1"/>
        <w:iCs w:val="1"/>
        <w:sz w:val="24"/>
        <w:szCs w:val="24"/>
      </w:rPr>
    </w:pPr>
    <w:r w:rsidDel="00000000" w:rsidR="00000000" w:rsidRPr="00000000">
      <w:rPr>
        <w:i w:val="1"/>
        <w:iCs w:val="1"/>
        <w:sz w:val="24"/>
        <w:szCs w:val="24"/>
        <w:rtl w:val="0"/>
      </w:rPr>
      <w:t xml:space="preserve">Možeš ti to!</w:t>
    </w:r>
    <w:r w:rsidDel="00000000" w:rsidR="00000000" w:rsidRPr="00000000">
      <w:rPr>
        <w:rtl w:val="0"/>
      </w:rPr>
    </w:r>
  </w:p>
  <w:p w:rsidR="00000000" w:rsidDel="00000000" w:rsidP="00000000" w:rsidRDefault="00000000" w:rsidRPr="00000000" w14:paraId="000000A6">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footer" Target="footer1.xml"/><Relationship Id="rId22" Type="http://schemas.openxmlformats.org/officeDocument/2006/relationships/image" Target="media/image6.png"/><Relationship Id="rId21" Type="http://schemas.openxmlformats.org/officeDocument/2006/relationships/hyperlink" Target="https://pixabay.com/illustrations/daily-activities-routines-7054284/" TargetMode="External"/><Relationship Id="rId24" Type="http://schemas.openxmlformats.org/officeDocument/2006/relationships/hyperlink" Target="https://croatian.takolako.org/wp-content/uploads/BRIJEMO_SE.mp3" TargetMode="External"/><Relationship Id="rId23" Type="http://schemas.openxmlformats.org/officeDocument/2006/relationships/hyperlink" Target="https://croatian.takolako.org/wp-content/uploads/BRIJEM_SE.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xabay.com/illustrations/daily-activities-routines-7054301/" TargetMode="External"/><Relationship Id="rId26" Type="http://schemas.openxmlformats.org/officeDocument/2006/relationships/hyperlink" Target="https://croatian.takolako.org/wp-content/uploads/BRIJETE_SE.mp3" TargetMode="External"/><Relationship Id="rId25" Type="http://schemas.openxmlformats.org/officeDocument/2006/relationships/hyperlink" Target="https://croatian.takolako.org/wp-content/uploads/BRIJES_SE.mp3" TargetMode="External"/><Relationship Id="rId28" Type="http://schemas.openxmlformats.org/officeDocument/2006/relationships/hyperlink" Target="https://croatian.takolako.org/wp-content/uploads/BRIJU_SE.mp3" TargetMode="External"/><Relationship Id="rId27" Type="http://schemas.openxmlformats.org/officeDocument/2006/relationships/hyperlink" Target="https://croatian.takolako.org/wp-content/uploads/BRIJE_SE.mp3"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croatian.takolako.org/wp-content/uploads/PEREM-1.mp3" TargetMode="External"/><Relationship Id="rId7" Type="http://schemas.openxmlformats.org/officeDocument/2006/relationships/hyperlink" Target="https://freesvg.org/1555165074" TargetMode="External"/><Relationship Id="rId8" Type="http://schemas.openxmlformats.org/officeDocument/2006/relationships/image" Target="media/image5.png"/><Relationship Id="rId31" Type="http://schemas.openxmlformats.org/officeDocument/2006/relationships/hyperlink" Target="https://croatian.takolako.org/wp-content/uploads/PERES-1.mp3" TargetMode="External"/><Relationship Id="rId30" Type="http://schemas.openxmlformats.org/officeDocument/2006/relationships/hyperlink" Target="https://croatian.takolako.org/wp-content/uploads/PEREMO-1.mp3" TargetMode="External"/><Relationship Id="rId11" Type="http://schemas.openxmlformats.org/officeDocument/2006/relationships/hyperlink" Target="https://pixabay.com/illustrations/a-boy-having-shower-having-shower-4835594/" TargetMode="External"/><Relationship Id="rId33" Type="http://schemas.openxmlformats.org/officeDocument/2006/relationships/hyperlink" Target="https://croatian.takolako.org/wp-content/uploads/PERE-1.mp3" TargetMode="External"/><Relationship Id="rId10" Type="http://schemas.openxmlformats.org/officeDocument/2006/relationships/image" Target="media/image11.png"/><Relationship Id="rId32" Type="http://schemas.openxmlformats.org/officeDocument/2006/relationships/hyperlink" Target="https://croatian.takolako.org/wp-content/uploads/PERETE-1.mp3" TargetMode="External"/><Relationship Id="rId13" Type="http://schemas.openxmlformats.org/officeDocument/2006/relationships/hyperlink" Target="https://pixabay.com/illustrations/girl-teeth-tooth-brush-toothpaste-5745054/" TargetMode="External"/><Relationship Id="rId35" Type="http://schemas.openxmlformats.org/officeDocument/2006/relationships/hyperlink" Target="https://commons.wikimedia.org/wiki/File:After_casting_their_stones_the_first_day,_pilgrims_trim_%28or_shave_if_they_are_men%29_their_hair_and_remove_their_ihram_clothes._-_Flickr_-_Al_Jazeera_English.jpg" TargetMode="External"/><Relationship Id="rId12" Type="http://schemas.openxmlformats.org/officeDocument/2006/relationships/image" Target="media/image10.png"/><Relationship Id="rId34" Type="http://schemas.openxmlformats.org/officeDocument/2006/relationships/hyperlink" Target="https://croatian.takolako.org/wp-content/uploads/PERU-1.mp3" TargetMode="External"/><Relationship Id="rId15" Type="http://schemas.openxmlformats.org/officeDocument/2006/relationships/hyperlink" Target="https://pixabay.com/illustrations/father-son-shaving-cartoon-dad-7070473/" TargetMode="External"/><Relationship Id="rId37" Type="http://schemas.openxmlformats.org/officeDocument/2006/relationships/hyperlink" Target="https://pixabay.com/photos/shaving-razor-man-face-shave-6256448/" TargetMode="External"/><Relationship Id="rId14" Type="http://schemas.openxmlformats.org/officeDocument/2006/relationships/image" Target="media/image8.png"/><Relationship Id="rId36" Type="http://schemas.openxmlformats.org/officeDocument/2006/relationships/image" Target="media/image13.png"/><Relationship Id="rId17" Type="http://schemas.openxmlformats.org/officeDocument/2006/relationships/hyperlink" Target="https://pixabay.com/vectors/cosmetics-the-make-up-a-woman-2611803/" TargetMode="External"/><Relationship Id="rId39" Type="http://schemas.openxmlformats.org/officeDocument/2006/relationships/hyperlink" Target="https://docs.google.com/document/d/1iCtOShPWOeDCkiA0mlSDS8lxS_hwXHEnH5PsvYhcxP0/edit#heading=h.ou6sok6ab3dc" TargetMode="External"/><Relationship Id="rId16" Type="http://schemas.openxmlformats.org/officeDocument/2006/relationships/image" Target="media/image7.png"/><Relationship Id="rId38" Type="http://schemas.openxmlformats.org/officeDocument/2006/relationships/image" Target="media/image12.png"/><Relationship Id="rId19" Type="http://schemas.openxmlformats.org/officeDocument/2006/relationships/hyperlink" Target="https://freesvg.org/getdressed" TargetMode="External"/><Relationship Id="rId1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