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bfwopkixnyw5" w:id="0"/>
      <w:bookmarkEnd w:id="0"/>
      <w:r w:rsidDel="00000000" w:rsidR="00000000" w:rsidRPr="00000000">
        <w:rPr>
          <w:rtl w:val="0"/>
        </w:rPr>
        <w:t xml:space="preserve">6.1 - </w:t>
      </w:r>
      <w:r w:rsidDel="00000000" w:rsidR="00000000" w:rsidRPr="00000000">
        <w:rPr>
          <w:i w:val="1"/>
          <w:rtl w:val="0"/>
        </w:rPr>
        <w:t xml:space="preserve">snažit se</w:t>
      </w:r>
      <w:r w:rsidDel="00000000" w:rsidR="00000000" w:rsidRPr="00000000">
        <w:rPr>
          <w:rtl w:val="0"/>
        </w:rPr>
        <w:t xml:space="preserve"> - ‘to try’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One verb we will encounter in several of the </w:t>
      </w:r>
      <w:r w:rsidDel="00000000" w:rsidR="00000000" w:rsidRPr="00000000">
        <w:rPr>
          <w:i w:val="1"/>
          <w:rtl w:val="0"/>
        </w:rPr>
        <w:t xml:space="preserve">Reality Czech</w:t>
      </w:r>
      <w:r w:rsidDel="00000000" w:rsidR="00000000" w:rsidRPr="00000000">
        <w:rPr>
          <w:rtl w:val="0"/>
        </w:rPr>
        <w:t xml:space="preserve"> interview videos is </w:t>
      </w:r>
      <w:r w:rsidDel="00000000" w:rsidR="00000000" w:rsidRPr="00000000">
        <w:rPr>
          <w:i w:val="1"/>
          <w:rtl w:val="0"/>
        </w:rPr>
        <w:t xml:space="preserve">snažit se</w:t>
      </w:r>
      <w:r w:rsidDel="00000000" w:rsidR="00000000" w:rsidRPr="00000000">
        <w:rPr>
          <w:rtl w:val="0"/>
        </w:rPr>
        <w:t xml:space="preserve"> - 'to try', and as you can see below, it’s really good to use this when talking about the activities that you engage in:</w:t>
      </w: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3000" cy="1524000"/>
                  <wp:effectExtent b="0" l="0" r="0" t="0"/>
                  <wp:docPr id="5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pageBreakBefore w:val="0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Jenom aerobik třeba. 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snažím se</w:t>
            </w:r>
            <w:r w:rsidDel="00000000" w:rsidR="00000000" w:rsidRPr="00000000">
              <w:rPr>
                <w:i w:val="1"/>
                <w:rtl w:val="0"/>
              </w:rPr>
              <w:t xml:space="preserve"> běhat někdy, ale...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3000" cy="1524000"/>
                  <wp:effectExtent b="0" l="0" r="0" t="0"/>
                  <wp:docPr id="2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pageBreakBefore w:val="0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Nehraju žádnou hru, ale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snažím se</w:t>
            </w:r>
            <w:r w:rsidDel="00000000" w:rsidR="00000000" w:rsidRPr="00000000">
              <w:rPr>
                <w:i w:val="1"/>
                <w:rtl w:val="0"/>
              </w:rPr>
              <w:t xml:space="preserve"> trošku pracovat na své fyzičce, to znamená, že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se snažím</w:t>
            </w:r>
            <w:r w:rsidDel="00000000" w:rsidR="00000000" w:rsidRPr="00000000">
              <w:rPr>
                <w:i w:val="1"/>
                <w:rtl w:val="0"/>
              </w:rPr>
              <w:t xml:space="preserve"> udržovat v kondici.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3000" cy="1524000"/>
                  <wp:effectExtent b="0" l="0" r="0" t="0"/>
                  <wp:docPr id="6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ageBreakBefore w:val="0"/>
              <w:rPr/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Snažíme se</w:t>
            </w:r>
            <w:r w:rsidDel="00000000" w:rsidR="00000000" w:rsidRPr="00000000">
              <w:rPr>
                <w:i w:val="1"/>
                <w:rtl w:val="0"/>
              </w:rPr>
              <w:t xml:space="preserve"> udělat</w:t>
            </w:r>
            <w:r w:rsidDel="00000000" w:rsidR="00000000" w:rsidRPr="00000000">
              <w:rPr>
                <w:i w:val="1"/>
                <w:vertAlign w:val="superscript"/>
              </w:rPr>
              <w:footnoteReference w:customMarkFollows="0" w:id="0"/>
            </w:r>
            <w:r w:rsidDel="00000000" w:rsidR="00000000" w:rsidRPr="00000000">
              <w:rPr>
                <w:i w:val="1"/>
                <w:rtl w:val="0"/>
              </w:rPr>
              <w:t xml:space="preserve"> si každý den alespoň trochu volného času.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3000" cy="1524000"/>
                  <wp:effectExtent b="0" l="0" r="0" t="0"/>
                  <wp:docPr id="4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ageBreakBefore w:val="0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Snažím se hrát na kytaru.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rtl w:val="0"/>
        </w:rPr>
        <w:t xml:space="preserve">The main things to remember:</w:t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i w:val="1"/>
          <w:rtl w:val="0"/>
        </w:rPr>
        <w:t xml:space="preserve">snažit se</w:t>
      </w:r>
      <w:r w:rsidDel="00000000" w:rsidR="00000000" w:rsidRPr="00000000">
        <w:rPr>
          <w:rtl w:val="0"/>
        </w:rPr>
        <w:t xml:space="preserve"> is conjugated normally, just like </w:t>
      </w:r>
      <w:hyperlink r:id="rId11">
        <w:r w:rsidDel="00000000" w:rsidR="00000000" w:rsidRPr="00000000">
          <w:rPr>
            <w:color w:val="1155cc"/>
            <w:u w:val="single"/>
            <w:rtl w:val="0"/>
          </w:rPr>
          <w:t xml:space="preserve">other </w:t>
        </w:r>
      </w:hyperlink>
      <w:hyperlink r:id="rId12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-í-</w:t>
        </w:r>
      </w:hyperlink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 verbs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0F">
      <w:pPr>
        <w:pageBreakBefore w:val="0"/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it is followed by the </w:t>
      </w:r>
      <w:r w:rsidDel="00000000" w:rsidR="00000000" w:rsidRPr="00000000">
        <w:rPr>
          <w:b w:val="1"/>
          <w:rtl w:val="0"/>
        </w:rPr>
        <w:t xml:space="preserve">infinitive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hyperlink r:id="rId1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Obvykle se snažím cvičit jednou nebo dvakrát týdně.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1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Snažíme se odpočívat každý den...a to někdy celý den.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1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66825"/>
                    <wp:effectExtent b="0" l="0" r="0" t="0"/>
                    <wp:docPr id="7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9"/>
                            <a:srcRect b="3448" l="0" r="0" t="48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66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Moje babička se na podzim snaží sbírat houby každý víkend.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Note on Trying </w:t>
      </w:r>
      <w:r w:rsidDel="00000000" w:rsidR="00000000" w:rsidRPr="00000000">
        <w:rPr>
          <w:rtl w:val="0"/>
        </w:rPr>
        <w:t xml:space="preserve">– There are different verbs for </w:t>
      </w:r>
      <w:r w:rsidDel="00000000" w:rsidR="00000000" w:rsidRPr="00000000">
        <w:rPr>
          <w:i w:val="1"/>
          <w:rtl w:val="0"/>
        </w:rPr>
        <w:t xml:space="preserve">trying</w:t>
      </w:r>
      <w:r w:rsidDel="00000000" w:rsidR="00000000" w:rsidRPr="00000000">
        <w:rPr>
          <w:rtl w:val="0"/>
        </w:rPr>
        <w:t xml:space="preserve">, such as </w:t>
      </w:r>
      <w:r w:rsidDel="00000000" w:rsidR="00000000" w:rsidRPr="00000000">
        <w:rPr>
          <w:i w:val="1"/>
          <w:rtl w:val="0"/>
        </w:rPr>
        <w:t xml:space="preserve">ochutnat </w:t>
      </w:r>
      <w:r w:rsidDel="00000000" w:rsidR="00000000" w:rsidRPr="00000000">
        <w:rPr>
          <w:rtl w:val="0"/>
        </w:rPr>
        <w:t xml:space="preserve">‘to try (food, drink)’ and more generic </w:t>
      </w:r>
      <w:r w:rsidDel="00000000" w:rsidR="00000000" w:rsidRPr="00000000">
        <w:rPr>
          <w:i w:val="1"/>
          <w:rtl w:val="0"/>
        </w:rPr>
        <w:t xml:space="preserve">zkusit</w:t>
      </w:r>
      <w:r w:rsidDel="00000000" w:rsidR="00000000" w:rsidRPr="00000000">
        <w:rPr>
          <w:rtl w:val="0"/>
        </w:rPr>
        <w:t xml:space="preserve"> ‘to try’, which is typically what you’ll use when trying something out/on (clothing, a new game, a different technique, etc.).</w:t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Note on Reflexives</w:t>
      </w:r>
      <w:r w:rsidDel="00000000" w:rsidR="00000000" w:rsidRPr="00000000">
        <w:rPr>
          <w:rtl w:val="0"/>
        </w:rPr>
        <w:t xml:space="preserve"> – Just remember that while some reflexive verbs seem to make a lot of sense to us (as to why they are reflexives), others sometimes do not. </w:t>
      </w:r>
      <w:r w:rsidDel="00000000" w:rsidR="00000000" w:rsidRPr="00000000">
        <w:rPr>
          <w:i w:val="1"/>
          <w:rtl w:val="0"/>
        </w:rPr>
        <w:t xml:space="preserve">Snažit se</w:t>
      </w:r>
      <w:r w:rsidDel="00000000" w:rsidR="00000000" w:rsidRPr="00000000">
        <w:rPr>
          <w:rtl w:val="0"/>
        </w:rPr>
        <w:t xml:space="preserve"> seems to be one of those verbs you just have to learn is reflexive and memorize it as such. Just remember to put </w:t>
      </w:r>
      <w:r w:rsidDel="00000000" w:rsidR="00000000" w:rsidRPr="00000000">
        <w:rPr>
          <w:i w:val="1"/>
          <w:rtl w:val="0"/>
        </w:rPr>
        <w:t xml:space="preserve">se</w:t>
      </w:r>
      <w:r w:rsidDel="00000000" w:rsidR="00000000" w:rsidRPr="00000000">
        <w:rPr>
          <w:rtl w:val="0"/>
        </w:rPr>
        <w:t xml:space="preserve"> in 2nd position. This means that if you start a sentence with </w:t>
      </w:r>
      <w:r w:rsidDel="00000000" w:rsidR="00000000" w:rsidRPr="00000000">
        <w:rPr>
          <w:i w:val="1"/>
          <w:rtl w:val="0"/>
        </w:rPr>
        <w:t xml:space="preserve">já...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i w:val="1"/>
          <w:rtl w:val="0"/>
        </w:rPr>
        <w:t xml:space="preserve">často…</w:t>
      </w:r>
      <w:r w:rsidDel="00000000" w:rsidR="00000000" w:rsidRPr="00000000">
        <w:rPr>
          <w:rtl w:val="0"/>
        </w:rPr>
        <w:t xml:space="preserve">, or continue a sentence using </w:t>
      </w:r>
      <w:r w:rsidDel="00000000" w:rsidR="00000000" w:rsidRPr="00000000">
        <w:rPr>
          <w:i w:val="1"/>
          <w:rtl w:val="0"/>
        </w:rPr>
        <w:t xml:space="preserve">protože…</w:t>
      </w:r>
      <w:r w:rsidDel="00000000" w:rsidR="00000000" w:rsidRPr="00000000">
        <w:rPr>
          <w:rtl w:val="0"/>
        </w:rPr>
        <w:t xml:space="preserve">, then </w:t>
      </w:r>
      <w:r w:rsidDel="00000000" w:rsidR="00000000" w:rsidRPr="00000000">
        <w:rPr>
          <w:i w:val="1"/>
          <w:rtl w:val="0"/>
        </w:rPr>
        <w:t xml:space="preserve">se</w:t>
      </w:r>
      <w:r w:rsidDel="00000000" w:rsidR="00000000" w:rsidRPr="00000000">
        <w:rPr>
          <w:rtl w:val="0"/>
        </w:rPr>
        <w:t xml:space="preserve"> will be your next word. You can review reflexives in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2.5 - Reflexive </w:t>
        </w:r>
      </w:hyperlink>
      <w:hyperlink r:id="rId21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se</w:t>
        </w:r>
      </w:hyperlink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 and </w:t>
        </w:r>
      </w:hyperlink>
      <w:hyperlink r:id="rId23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si</w:t>
        </w:r>
      </w:hyperlink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 and 2nd position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rPr/>
      </w:pPr>
      <w:r w:rsidDel="00000000" w:rsidR="00000000" w:rsidRPr="00000000">
        <w:rPr>
          <w:color w:val="222222"/>
          <w:sz w:val="22"/>
          <w:szCs w:val="22"/>
          <w:highlight w:val="white"/>
          <w:rtl w:val="0"/>
        </w:rPr>
        <w:t xml:space="preserve">Images used in this document come from </w:t>
      </w:r>
      <w:hyperlink r:id="rId25">
        <w:r w:rsidDel="00000000" w:rsidR="00000000" w:rsidRPr="00000000">
          <w:rPr>
            <w:color w:val="1155cc"/>
            <w:sz w:val="22"/>
            <w:szCs w:val="22"/>
            <w:highlight w:val="white"/>
            <w:u w:val="single"/>
            <w:rtl w:val="0"/>
          </w:rPr>
          <w:t xml:space="preserve">these sources.</w:t>
        </w:r>
      </w:hyperlink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otnote w:id="0">
    <w:p w:rsidR="00000000" w:rsidDel="00000000" w:rsidP="00000000" w:rsidRDefault="00000000" w:rsidRPr="00000000" w14:paraId="00000021">
      <w:pPr>
        <w:pageBreakBefore w:val="0"/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i w:val="1"/>
          <w:sz w:val="20"/>
          <w:szCs w:val="20"/>
          <w:rtl w:val="0"/>
        </w:rPr>
        <w:t xml:space="preserve">udělat</w:t>
      </w:r>
      <w:r w:rsidDel="00000000" w:rsidR="00000000" w:rsidRPr="00000000">
        <w:rPr>
          <w:sz w:val="20"/>
          <w:szCs w:val="20"/>
          <w:rtl w:val="0"/>
        </w:rPr>
        <w:t xml:space="preserve"> ‘to do, make’ is a form known as the perfective form, a verb related to </w:t>
      </w:r>
      <w:r w:rsidDel="00000000" w:rsidR="00000000" w:rsidRPr="00000000">
        <w:rPr>
          <w:i w:val="1"/>
          <w:sz w:val="20"/>
          <w:szCs w:val="20"/>
          <w:rtl w:val="0"/>
        </w:rPr>
        <w:t xml:space="preserve">dělat</w:t>
      </w:r>
      <w:r w:rsidDel="00000000" w:rsidR="00000000" w:rsidRPr="00000000">
        <w:rPr>
          <w:sz w:val="20"/>
          <w:szCs w:val="20"/>
          <w:rtl w:val="0"/>
        </w:rPr>
        <w:t xml:space="preserve"> ‘to do, make’. The difference is </w:t>
      </w:r>
      <w:r w:rsidDel="00000000" w:rsidR="00000000" w:rsidRPr="00000000">
        <w:rPr>
          <w:sz w:val="20"/>
          <w:szCs w:val="20"/>
          <w:rtl w:val="0"/>
        </w:rPr>
        <w:t xml:space="preserve">that </w:t>
      </w:r>
      <w:r w:rsidDel="00000000" w:rsidR="00000000" w:rsidRPr="00000000">
        <w:rPr>
          <w:i w:val="1"/>
          <w:sz w:val="20"/>
          <w:szCs w:val="20"/>
          <w:rtl w:val="0"/>
        </w:rPr>
        <w:t xml:space="preserve">udělat</w:t>
      </w:r>
      <w:r w:rsidDel="00000000" w:rsidR="00000000" w:rsidRPr="00000000">
        <w:rPr>
          <w:sz w:val="20"/>
          <w:szCs w:val="20"/>
          <w:rtl w:val="0"/>
        </w:rPr>
        <w:t xml:space="preserve"> focuses more on completion (i.e. getting it one). Obviously that’s a little abstract at this point and there’s no need to worry about it for now. W</w:t>
      </w:r>
      <w:r w:rsidDel="00000000" w:rsidR="00000000" w:rsidRPr="00000000">
        <w:rPr>
          <w:sz w:val="20"/>
          <w:szCs w:val="20"/>
          <w:rtl w:val="0"/>
        </w:rPr>
        <w:t xml:space="preserve">e will learn more about these forms later in unit 6, as well as units 7 and 8.</w:t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realityczech.org/reflexive-se-and-si-and-2nd-position" TargetMode="External"/><Relationship Id="rId22" Type="http://schemas.openxmlformats.org/officeDocument/2006/relationships/hyperlink" Target="https://realityczech.org/reflexive-se-and-si-and-2nd-position" TargetMode="External"/><Relationship Id="rId21" Type="http://schemas.openxmlformats.org/officeDocument/2006/relationships/hyperlink" Target="https://realityczech.org/reflexive-se-and-si-and-2nd-position" TargetMode="External"/><Relationship Id="rId24" Type="http://schemas.openxmlformats.org/officeDocument/2006/relationships/hyperlink" Target="https://realityczech.org/reflexive-se-and-si-and-2nd-position" TargetMode="External"/><Relationship Id="rId23" Type="http://schemas.openxmlformats.org/officeDocument/2006/relationships/hyperlink" Target="https://realityczech.org/reflexive-se-and-si-and-2nd-position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5.jpg"/><Relationship Id="rId25" Type="http://schemas.openxmlformats.org/officeDocument/2006/relationships/hyperlink" Target="https://docs.google.com/document/d/1zu04ewEVSZyzgeJP4UruSCuuT6cwPM-ukabQuZH2Y_I/edit#heading=h.9hnunhq1qc59" TargetMode="Externa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image" Target="media/image1.jpg"/><Relationship Id="rId8" Type="http://schemas.openxmlformats.org/officeDocument/2006/relationships/image" Target="media/image7.jpg"/><Relationship Id="rId11" Type="http://schemas.openxmlformats.org/officeDocument/2006/relationships/hyperlink" Target="https://realityczech.org/conjugation-of-i-verbs" TargetMode="External"/><Relationship Id="rId10" Type="http://schemas.openxmlformats.org/officeDocument/2006/relationships/image" Target="media/image2.jpg"/><Relationship Id="rId13" Type="http://schemas.openxmlformats.org/officeDocument/2006/relationships/hyperlink" Target="https://realityczech.org/conjugation-of-i-verbs" TargetMode="External"/><Relationship Id="rId12" Type="http://schemas.openxmlformats.org/officeDocument/2006/relationships/hyperlink" Target="https://realityczech.org/conjugation-of-i-verbs" TargetMode="External"/><Relationship Id="rId15" Type="http://schemas.openxmlformats.org/officeDocument/2006/relationships/image" Target="media/image6.png"/><Relationship Id="rId14" Type="http://schemas.openxmlformats.org/officeDocument/2006/relationships/hyperlink" Target="https://www.pexels.com/photo/man-sport-club-strength-4047005/" TargetMode="External"/><Relationship Id="rId17" Type="http://schemas.openxmlformats.org/officeDocument/2006/relationships/image" Target="media/image4.png"/><Relationship Id="rId16" Type="http://schemas.openxmlformats.org/officeDocument/2006/relationships/hyperlink" Target="https://www.pexels.com/photo/bed-animal-dog-dogs-57627/" TargetMode="External"/><Relationship Id="rId19" Type="http://schemas.openxmlformats.org/officeDocument/2006/relationships/image" Target="media/image3.png"/><Relationship Id="rId18" Type="http://schemas.openxmlformats.org/officeDocument/2006/relationships/hyperlink" Target="https://commons.wikimedia.org/wiki/File:Cep_in_basket_2006_G01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