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8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8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4770"/>
        <w:gridCol w:w="6030"/>
        <w:tblGridChange w:id="0">
          <w:tblGrid>
            <w:gridCol w:w="4770"/>
            <w:gridCol w:w="6030"/>
          </w:tblGrid>
        </w:tblGridChange>
      </w:tblGrid>
      <w:tr>
        <w:trPr>
          <w:cantSplit w:val="0"/>
          <w:trHeight w:val="50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8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5 - Body, Health, Personality Traits – Tělo, Zdraví, Povaha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8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12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this unit we will learn to describe people. We will begin by describing a person’s appearance more generally by learning terms for body parts, hair and eye color, complexion, etc.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12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 will then learn how to describe various illnesses, pain, physical sensations, emotional states and mood.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12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Finally, you will learn how to describe people in terms of their character traits and talk about what traits are ideal for friends, colleagues, and partners.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12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8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114300" distT="114300" distL="114300" distR="114300">
                  <wp:extent cx="3719513" cy="37313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13" cy="37313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after="8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8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Communicative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8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8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 and describe parts of the body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describe physical appearance of a person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talk about how you are feeling (tired, sick, hot, cold, happy, sad, etc.)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talk about being sick and express what hurts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describe people in terms of their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describe your emotional state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8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dative of nouns and pronouns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using the dative to express indirect object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using the dative to express age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using the dative to express physical sensations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je mi zle, je mi dobře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past tense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3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comparatives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parts of the body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physical description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after="80" w:line="240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sickness and health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after="8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verb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moct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‘to be able’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after="8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