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yqcegkj0m43d"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3 </w:t>
      </w:r>
      <w:r w:rsidDel="00000000" w:rsidR="00000000" w:rsidRPr="00000000">
        <w:rPr>
          <w:color w:val="cc2909"/>
          <w:rtl w:val="0"/>
        </w:rPr>
        <w:t xml:space="preserve">|</w:t>
      </w:r>
      <w:r w:rsidDel="00000000" w:rsidR="00000000" w:rsidRPr="00000000">
        <w:rPr>
          <w:rtl w:val="0"/>
        </w:rPr>
        <w:t xml:space="preserve"> Lekcija 1: Strah i bolest</w:t>
      </w:r>
    </w:p>
    <w:p w:rsidR="00000000" w:rsidDel="00000000" w:rsidP="00000000" w:rsidRDefault="00000000" w:rsidRPr="00000000" w14:paraId="00000002">
      <w:pPr>
        <w:pStyle w:val="Heading1"/>
        <w:rPr/>
      </w:pPr>
      <w:bookmarkStart w:colFirst="0" w:colLast="0" w:name="_w8i107z3kpc9" w:id="1"/>
      <w:bookmarkEnd w:id="1"/>
      <w:r w:rsidDel="00000000" w:rsidR="00000000" w:rsidRPr="00000000">
        <w:rPr>
          <w:color w:val="cc2909"/>
          <w:rtl w:val="0"/>
        </w:rPr>
        <w:t xml:space="preserve">|</w:t>
      </w:r>
      <w:r w:rsidDel="00000000" w:rsidR="00000000" w:rsidRPr="00000000">
        <w:rPr>
          <w:rtl w:val="0"/>
        </w:rPr>
        <w:t xml:space="preserve"> The verb BOLJETI</w:t>
      </w:r>
    </w:p>
    <w:p w:rsidR="00000000" w:rsidDel="00000000" w:rsidP="00000000" w:rsidRDefault="00000000" w:rsidRPr="00000000" w14:paraId="00000003">
      <w:pPr>
        <w:rPr/>
      </w:pPr>
      <w:r w:rsidDel="00000000" w:rsidR="00000000" w:rsidRPr="00000000">
        <w:rPr>
          <w:rtl w:val="0"/>
        </w:rPr>
        <w:t xml:space="preserve">The verb </w:t>
      </w:r>
      <w:r w:rsidDel="00000000" w:rsidR="00000000" w:rsidRPr="00000000">
        <w:rPr>
          <w:i w:val="1"/>
          <w:rtl w:val="0"/>
        </w:rPr>
        <w:t xml:space="preserve">boljeti</w:t>
      </w:r>
      <w:r w:rsidDel="00000000" w:rsidR="00000000" w:rsidRPr="00000000">
        <w:rPr>
          <w:rtl w:val="0"/>
        </w:rPr>
        <w:t xml:space="preserve"> (to feel pain, to have pain/ache) only has the 3rd person singular form and the 3rd person plural form. We cannot conjugate the verb fully in the Present Tense. The structure you need to use can be one of the following: boli me (for one singular pain/ache) or bole me (for more than one pain at the same time). For example: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b w:val="1"/>
              </w:rPr>
            </w:pPr>
            <w:r w:rsidDel="00000000" w:rsidR="00000000" w:rsidRPr="00000000">
              <w:rPr>
                <w:b w:val="1"/>
                <w:color w:val="f98070"/>
                <w:rtl w:val="0"/>
              </w:rPr>
              <w:t xml:space="preserve">|</w:t>
            </w:r>
            <w:r w:rsidDel="00000000" w:rsidR="00000000" w:rsidRPr="00000000">
              <w:rPr>
                <w:b w:val="1"/>
                <w:rtl w:val="0"/>
              </w:rPr>
              <w:t xml:space="preserve"> Boli me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rtl w:val="0"/>
              </w:rPr>
              <w:t xml:space="preserve">Boli me glava. = I have a headache.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r w:rsidDel="00000000" w:rsidR="00000000" w:rsidRPr="00000000">
              <w:rPr>
                <w:rtl w:val="0"/>
              </w:rPr>
              <w:t xml:space="preserve">Boli me grlo. = I have a sore throat.</w:t>
            </w:r>
          </w:p>
        </w:tc>
      </w:tr>
      <w:tr>
        <w:trPr>
          <w:cantSplit w:val="0"/>
          <w:tblHeader w:val="0"/>
        </w:trPr>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b w:val="1"/>
              </w:rPr>
            </w:pPr>
            <w:r w:rsidDel="00000000" w:rsidR="00000000" w:rsidRPr="00000000">
              <w:rPr>
                <w:b w:val="1"/>
                <w:color w:val="f98070"/>
                <w:rtl w:val="0"/>
              </w:rPr>
              <w:t xml:space="preserve">|</w:t>
            </w:r>
            <w:r w:rsidDel="00000000" w:rsidR="00000000" w:rsidRPr="00000000">
              <w:rPr>
                <w:b w:val="1"/>
                <w:rtl w:val="0"/>
              </w:rPr>
              <w:t xml:space="preserve"> Bole me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Bole me oči. = My eyes hurt.</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Bole me noge. = My legs hurt.</w:t>
            </w:r>
          </w:p>
        </w:tc>
      </w:tr>
    </w:tbl>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As you can see, the sentence structure when expressing pain is different than in English. In Croatian you will always use the structure of:</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pPr>
            <w:r w:rsidDel="00000000" w:rsidR="00000000" w:rsidRPr="00000000">
              <w:rPr>
                <w:rtl w:val="0"/>
              </w:rPr>
              <w:t xml:space="preserve">boli (sing.) / bole (pl.)</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jc w:val="center"/>
              <w:rPr/>
            </w:pPr>
            <w:r w:rsidDel="00000000" w:rsidR="00000000" w:rsidRPr="00000000">
              <w:rPr>
                <w:rtl w:val="0"/>
              </w:rPr>
              <w:t xml:space="preserve">personal pronoun in the Accusative case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jc w:val="center"/>
              <w:rPr/>
            </w:pPr>
            <w:r w:rsidDel="00000000" w:rsidR="00000000" w:rsidRPr="00000000">
              <w:rPr>
                <w:rtl w:val="0"/>
              </w:rPr>
              <w:t xml:space="preserve">noun in the Nominative case</w:t>
            </w:r>
          </w:p>
        </w:tc>
      </w:tr>
    </w:tbl>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Look at the following example, together with English translation modified to fit the grammar structure.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2745"/>
        <w:gridCol w:w="870"/>
        <w:gridCol w:w="4845"/>
        <w:tblGridChange w:id="0">
          <w:tblGrid>
            <w:gridCol w:w="900"/>
            <w:gridCol w:w="2745"/>
            <w:gridCol w:w="870"/>
            <w:gridCol w:w="4845"/>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ja</w:t>
            </w:r>
          </w:p>
        </w:tc>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Boli me glava.</w:t>
            </w:r>
          </w:p>
        </w:tc>
        <w:tc>
          <w:tcPr>
            <w:tcBorders>
              <w:top w:color="000000" w:space="0" w:sz="0" w:val="nil"/>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I </w:t>
            </w:r>
          </w:p>
        </w:tc>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Head hurts me. </w:t>
            </w:r>
          </w:p>
        </w:tc>
      </w:tr>
      <w:tr>
        <w:trPr>
          <w:cantSplit w:val="0"/>
          <w:tblHeader w:val="0"/>
        </w:trPr>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ti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Boli te glava.</w:t>
            </w:r>
          </w:p>
        </w:tc>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You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Head hurts you.</w:t>
            </w:r>
          </w:p>
        </w:tc>
      </w:tr>
      <w:tr>
        <w:trPr>
          <w:cantSplit w:val="0"/>
          <w:tblHeader w:val="0"/>
        </w:trPr>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on</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Boli ga glava.</w:t>
            </w:r>
          </w:p>
        </w:tc>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He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Head hurts him.</w:t>
            </w:r>
          </w:p>
        </w:tc>
      </w:tr>
      <w:tr>
        <w:trPr>
          <w:cantSplit w:val="0"/>
          <w:tblHeader w:val="0"/>
        </w:trPr>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ona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Boli je glava.</w:t>
            </w:r>
          </w:p>
        </w:tc>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She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Head hurts her.</w:t>
            </w:r>
          </w:p>
        </w:tc>
      </w:tr>
      <w:tr>
        <w:trPr>
          <w:cantSplit w:val="0"/>
          <w:tblHeader w:val="0"/>
        </w:trPr>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mi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Boli nas glava.</w:t>
            </w:r>
          </w:p>
        </w:tc>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We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Head hurts us.</w:t>
            </w:r>
          </w:p>
        </w:tc>
      </w:tr>
      <w:tr>
        <w:trPr>
          <w:cantSplit w:val="0"/>
          <w:tblHeader w:val="0"/>
        </w:trPr>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vi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Boli vas glava.</w:t>
            </w:r>
          </w:p>
        </w:tc>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You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Head hurts you [all].</w:t>
            </w:r>
          </w:p>
        </w:tc>
      </w:tr>
      <w:tr>
        <w:trPr>
          <w:cantSplit w:val="0"/>
          <w:tblHeader w:val="0"/>
        </w:trPr>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oni/-e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Boli ih</w:t>
            </w:r>
            <w:r w:rsidDel="00000000" w:rsidR="00000000" w:rsidRPr="00000000">
              <w:rPr>
                <w:rtl w:val="0"/>
              </w:rPr>
              <w:t xml:space="preserve"> glava. </w:t>
            </w:r>
          </w:p>
        </w:tc>
        <w:tc>
          <w:tcPr>
            <w:tcBorders>
              <w:top w:color="000000" w:space="0" w:sz="4" w:val="dotted"/>
              <w:left w:color="000000" w:space="0" w:sz="0" w:val="nil"/>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They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Head hurts them.</w:t>
            </w:r>
          </w:p>
        </w:tc>
      </w:tr>
    </w:tbl>
    <w:p w:rsidR="00000000" w:rsidDel="00000000" w:rsidP="00000000" w:rsidRDefault="00000000" w:rsidRPr="00000000" w14:paraId="0000002D">
      <w:pPr>
        <w:pStyle w:val="Heading1"/>
        <w:rPr/>
      </w:pPr>
      <w:bookmarkStart w:colFirst="0" w:colLast="0" w:name="_5g791jh0qusd" w:id="2"/>
      <w:bookmarkEnd w:id="2"/>
      <w:r w:rsidDel="00000000" w:rsidR="00000000" w:rsidRPr="00000000">
        <w:rPr>
          <w:color w:val="cc2909"/>
          <w:rtl w:val="0"/>
        </w:rPr>
        <w:t xml:space="preserve">|</w:t>
      </w:r>
      <w:r w:rsidDel="00000000" w:rsidR="00000000" w:rsidRPr="00000000">
        <w:rPr>
          <w:rtl w:val="0"/>
        </w:rPr>
        <w:t xml:space="preserve"> The verb BOJATI SE</w:t>
      </w:r>
    </w:p>
    <w:p w:rsidR="00000000" w:rsidDel="00000000" w:rsidP="00000000" w:rsidRDefault="00000000" w:rsidRPr="00000000" w14:paraId="0000002E">
      <w:pPr>
        <w:rPr/>
      </w:pPr>
      <w:r w:rsidDel="00000000" w:rsidR="00000000" w:rsidRPr="00000000">
        <w:rPr>
          <w:rtl w:val="0"/>
        </w:rPr>
        <w:t xml:space="preserve">The verb </w:t>
      </w:r>
      <w:r w:rsidDel="00000000" w:rsidR="00000000" w:rsidRPr="00000000">
        <w:rPr>
          <w:i w:val="1"/>
          <w:rtl w:val="0"/>
        </w:rPr>
        <w:t xml:space="preserve">bojati se</w:t>
      </w:r>
      <w:r w:rsidDel="00000000" w:rsidR="00000000" w:rsidRPr="00000000">
        <w:rPr>
          <w:rtl w:val="0"/>
        </w:rPr>
        <w:t xml:space="preserve"> (to have fear of something or someone) in Croatian is followed by the Genitive case. Even though it ends in -ati, it uses the set of endings that are usually associated with -iti verbs.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185"/>
        <w:gridCol w:w="1455"/>
        <w:gridCol w:w="1320"/>
        <w:gridCol w:w="1395"/>
        <w:gridCol w:w="2445"/>
        <w:tblGridChange w:id="0">
          <w:tblGrid>
            <w:gridCol w:w="1560"/>
            <w:gridCol w:w="1185"/>
            <w:gridCol w:w="1455"/>
            <w:gridCol w:w="1320"/>
            <w:gridCol w:w="1395"/>
            <w:gridCol w:w="2445"/>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b w:val="1"/>
                <w:color w:val="ffffff"/>
              </w:rPr>
            </w:pPr>
            <w:r w:rsidDel="00000000" w:rsidR="00000000" w:rsidRPr="00000000">
              <w:rPr>
                <w:b w:val="1"/>
                <w:color w:val="ffffff"/>
                <w:rtl w:val="0"/>
              </w:rPr>
              <w:t xml:space="preserve">SINGULAR</w:t>
            </w:r>
          </w:p>
        </w:tc>
        <w:tc>
          <w:tcPr>
            <w:gridSpan w:val="3"/>
            <w:tcBorders>
              <w:top w:color="ffffff" w:space="0" w:sz="8" w:val="single"/>
              <w:left w:color="ffffff" w:space="0" w:sz="1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b w:val="1"/>
                <w:color w:val="ffffff"/>
              </w:rPr>
            </w:pPr>
            <w:r w:rsidDel="00000000" w:rsidR="00000000" w:rsidRPr="00000000">
              <w:rPr>
                <w:b w:val="1"/>
                <w:color w:val="ffffff"/>
                <w:rtl w:val="0"/>
              </w:rPr>
              <w:t xml:space="preserve">PLURAL</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5">
            <w:pPr>
              <w:spacing w:line="240" w:lineRule="auto"/>
              <w:rPr/>
            </w:pPr>
            <w:hyperlink r:id="rId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t xml:space="preserve">ja </w:t>
            </w:r>
          </w:p>
        </w:tc>
        <w:tc>
          <w:tcPr>
            <w:tcBorders>
              <w:top w:color="000000" w:space="0" w:sz="0" w:val="nil"/>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37">
            <w:pPr>
              <w:spacing w:line="240" w:lineRule="auto"/>
              <w:rPr/>
            </w:pPr>
            <w:r w:rsidDel="00000000" w:rsidR="00000000" w:rsidRPr="00000000">
              <w:rPr>
                <w:rtl w:val="0"/>
              </w:rPr>
              <w:t xml:space="preserve">boj-im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hyperlink r:id="rId7">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pPr>
            <w:r w:rsidDel="00000000" w:rsidR="00000000" w:rsidRPr="00000000">
              <w:rPr>
                <w:rtl w:val="0"/>
              </w:rPr>
              <w:t xml:space="preserve">mi </w:t>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r w:rsidDel="00000000" w:rsidR="00000000" w:rsidRPr="00000000">
              <w:rPr>
                <w:rtl w:val="0"/>
              </w:rPr>
              <w:t xml:space="preserve">boj-imo se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pPr>
            <w:hyperlink r:id="rId8">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ti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pPr>
            <w:r w:rsidDel="00000000" w:rsidR="00000000" w:rsidRPr="00000000">
              <w:rPr>
                <w:rtl w:val="0"/>
              </w:rPr>
              <w:t xml:space="preserve">boj-iš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hyperlink r:id="rId9">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F">
            <w:pPr>
              <w:spacing w:line="240" w:lineRule="auto"/>
              <w:rPr/>
            </w:pPr>
            <w:r w:rsidDel="00000000" w:rsidR="00000000" w:rsidRPr="00000000">
              <w:rPr>
                <w:rtl w:val="0"/>
              </w:rPr>
              <w:t xml:space="preserve">vi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boj-ite se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hyperlink r:id="rId1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t xml:space="preserve">on/-a/-o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43">
            <w:pPr>
              <w:spacing w:line="240" w:lineRule="auto"/>
              <w:rPr/>
            </w:pPr>
            <w:r w:rsidDel="00000000" w:rsidR="00000000" w:rsidRPr="00000000">
              <w:rPr>
                <w:rtl w:val="0"/>
              </w:rPr>
              <w:t xml:space="preserve">boj-i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hyperlink r:id="rId11">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5">
            <w:pPr>
              <w:spacing w:line="240" w:lineRule="auto"/>
              <w:rPr/>
            </w:pPr>
            <w:r w:rsidDel="00000000" w:rsidR="00000000" w:rsidRPr="00000000">
              <w:rPr>
                <w:rtl w:val="0"/>
              </w:rPr>
              <w:t xml:space="preserve">oni/-e/-a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t xml:space="preserve">boj-e se</w:t>
            </w:r>
          </w:p>
        </w:tc>
      </w:tr>
    </w:tbl>
    <w:p w:rsidR="00000000" w:rsidDel="00000000" w:rsidP="00000000" w:rsidRDefault="00000000" w:rsidRPr="00000000" w14:paraId="00000047">
      <w:pPr>
        <w:pStyle w:val="Heading3"/>
        <w:rPr/>
      </w:pPr>
      <w:bookmarkStart w:colFirst="0" w:colLast="0" w:name="_c8jrttiatw7e" w:id="3"/>
      <w:bookmarkEnd w:id="3"/>
      <w:r w:rsidDel="00000000" w:rsidR="00000000" w:rsidRPr="00000000">
        <w:rPr>
          <w:rtl w:val="0"/>
        </w:rPr>
        <w:t xml:space="preserve"> </w:t>
      </w:r>
      <w:r w:rsidDel="00000000" w:rsidR="00000000" w:rsidRPr="00000000">
        <w:rPr>
          <w:color w:val="f98070"/>
          <w:rtl w:val="0"/>
        </w:rPr>
        <w:t xml:space="preserve">|</w:t>
      </w:r>
      <w:r w:rsidDel="00000000" w:rsidR="00000000" w:rsidRPr="00000000">
        <w:rPr>
          <w:rtl w:val="0"/>
        </w:rPr>
        <w:t xml:space="preserve"> Na primjer</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Ja se bojim mraka. = I have a fear of the dark.</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Bojim se pauka. = I have a fear of spiders.</w:t>
            </w:r>
          </w:p>
        </w:tc>
      </w:tr>
    </w:tbl>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However, if the verb bojati se is followed by another transitive verb, then the noun will be in the Accusative case.</w:t>
      </w:r>
    </w:p>
    <w:p w:rsidR="00000000" w:rsidDel="00000000" w:rsidP="00000000" w:rsidRDefault="00000000" w:rsidRPr="00000000" w14:paraId="0000004C">
      <w:pPr>
        <w:pStyle w:val="Heading3"/>
        <w:spacing w:line="240" w:lineRule="auto"/>
        <w:rPr/>
      </w:pPr>
      <w:bookmarkStart w:colFirst="0" w:colLast="0" w:name="_exv2fvahnz3p" w:id="4"/>
      <w:bookmarkEnd w:id="4"/>
      <w:r w:rsidDel="00000000" w:rsidR="00000000" w:rsidRPr="00000000">
        <w:rPr>
          <w:color w:val="f98070"/>
          <w:rtl w:val="0"/>
        </w:rPr>
        <w:t xml:space="preserve">|</w:t>
      </w:r>
      <w:r w:rsidDel="00000000" w:rsidR="00000000" w:rsidRPr="00000000">
        <w:rPr>
          <w:rtl w:val="0"/>
        </w:rPr>
        <w:t xml:space="preserve"> Na primjer</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Bojim se mraka.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(bojim se + Genitive case)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Bojim se gledati horor.</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(bojim se + gledati + Accusative case)</w:t>
            </w:r>
          </w:p>
        </w:tc>
      </w:tr>
    </w:tbl>
    <w:p w:rsidR="00000000" w:rsidDel="00000000" w:rsidP="00000000" w:rsidRDefault="00000000" w:rsidRPr="00000000" w14:paraId="00000051">
      <w:pPr>
        <w:pStyle w:val="Heading2"/>
        <w:rPr/>
      </w:pPr>
      <w:bookmarkStart w:colFirst="0" w:colLast="0" w:name="_j2udx0kdnnhc" w:id="5"/>
      <w:bookmarkEnd w:id="5"/>
      <w:r w:rsidDel="00000000" w:rsidR="00000000" w:rsidRPr="00000000">
        <w:rPr>
          <w:color w:val="cc2909"/>
          <w:rtl w:val="0"/>
        </w:rPr>
        <w:t xml:space="preserve">|</w:t>
      </w:r>
      <w:r w:rsidDel="00000000" w:rsidR="00000000" w:rsidRPr="00000000">
        <w:rPr>
          <w:rtl w:val="0"/>
        </w:rPr>
        <w:t xml:space="preserve"> Do we use Genitive singular or Genitive plural with bojati se?</w:t>
      </w:r>
    </w:p>
    <w:p w:rsidR="00000000" w:rsidDel="00000000" w:rsidP="00000000" w:rsidRDefault="00000000" w:rsidRPr="00000000" w14:paraId="00000052">
      <w:pPr>
        <w:rPr/>
      </w:pPr>
      <w:r w:rsidDel="00000000" w:rsidR="00000000" w:rsidRPr="00000000">
        <w:rPr>
          <w:rtl w:val="0"/>
        </w:rPr>
        <w:t xml:space="preserve">Short answer – it depends. If we are talking about abstract nouns (death, sickness, etc.) or nouns that we usually refer to in singular (darkness, crowd), we use the Genitive singular. If we are talking about general nouns that we can see and/or touch/feel (snakes, doctors, insects, etc.), we use the Genitive plural. This is because we are giving a general statement that we are afraid of all [snakes, doctors]. Look at the example.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3742.5"/>
        <w:gridCol w:w="3742.5"/>
        <w:tblGridChange w:id="0">
          <w:tblGrid>
            <w:gridCol w:w="1875"/>
            <w:gridCol w:w="3742.5"/>
            <w:gridCol w:w="3742.5"/>
          </w:tblGrid>
        </w:tblGridChange>
      </w:tblGrid>
      <w:tr>
        <w:trPr>
          <w:cantSplit w:val="0"/>
          <w:trHeight w:val="431.953125" w:hRule="atLeast"/>
          <w:tblHeader w:val="0"/>
        </w:trPr>
        <w:tc>
          <w:tcPr>
            <w:gridSpan w:val="3"/>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Čega se bojiš?</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Genitive sing.</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Bojim se smrti i mraka.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I’m afraid of death and darkness.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Genitive pl.</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Bojim se zmijâ i paukâ.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I’m afraid of snakes and spiders. </w:t>
            </w:r>
          </w:p>
        </w:tc>
      </w:tr>
    </w:tbl>
    <w:p w:rsidR="00000000" w:rsidDel="00000000" w:rsidP="00000000" w:rsidRDefault="00000000" w:rsidRPr="00000000" w14:paraId="0000005C">
      <w:pPr>
        <w:pStyle w:val="Heading3"/>
        <w:rPr/>
      </w:pPr>
      <w:bookmarkStart w:colFirst="0" w:colLast="0" w:name="_yp22u6andqzq" w:id="6"/>
      <w:bookmarkEnd w:id="6"/>
      <w:r w:rsidDel="00000000" w:rsidR="00000000" w:rsidRPr="00000000">
        <w:rPr>
          <w:rtl w:val="0"/>
        </w:rPr>
        <w:t xml:space="preserve">Note 1</w:t>
      </w:r>
    </w:p>
    <w:p w:rsidR="00000000" w:rsidDel="00000000" w:rsidP="00000000" w:rsidRDefault="00000000" w:rsidRPr="00000000" w14:paraId="0000005D">
      <w:pPr>
        <w:rPr/>
      </w:pPr>
      <w:r w:rsidDel="00000000" w:rsidR="00000000" w:rsidRPr="00000000">
        <w:rPr>
          <w:rtl w:val="0"/>
        </w:rPr>
        <w:t xml:space="preserve">We do not write –â in Genitive plural. This is only for your better understanding that the ending –a in Genitive plural is pronounced as /aa/.</w:t>
      </w:r>
    </w:p>
    <w:p w:rsidR="00000000" w:rsidDel="00000000" w:rsidP="00000000" w:rsidRDefault="00000000" w:rsidRPr="00000000" w14:paraId="0000005E">
      <w:pPr>
        <w:pStyle w:val="Heading3"/>
        <w:rPr/>
      </w:pPr>
      <w:bookmarkStart w:colFirst="0" w:colLast="0" w:name="_sc1g2t2y5y87" w:id="7"/>
      <w:bookmarkEnd w:id="7"/>
      <w:r w:rsidDel="00000000" w:rsidR="00000000" w:rsidRPr="00000000">
        <w:rPr>
          <w:rtl w:val="0"/>
        </w:rPr>
        <w:t xml:space="preserve">Note 2:</w:t>
      </w:r>
    </w:p>
    <w:p w:rsidR="00000000" w:rsidDel="00000000" w:rsidP="00000000" w:rsidRDefault="00000000" w:rsidRPr="00000000" w14:paraId="0000005F">
      <w:pPr>
        <w:rPr/>
      </w:pPr>
      <w:r w:rsidDel="00000000" w:rsidR="00000000" w:rsidRPr="00000000">
        <w:rPr>
          <w:rtl w:val="0"/>
        </w:rPr>
        <w:t xml:space="preserve">Keep in mind, exceptions do exist.</w:t>
      </w:r>
    </w:p>
    <w:p w:rsidR="00000000" w:rsidDel="00000000" w:rsidP="00000000" w:rsidRDefault="00000000" w:rsidRPr="00000000" w14:paraId="00000060">
      <w:pPr>
        <w:pStyle w:val="Heading1"/>
        <w:rPr/>
      </w:pPr>
      <w:bookmarkStart w:colFirst="0" w:colLast="0" w:name="_whbbctwlrhll" w:id="8"/>
      <w:bookmarkEnd w:id="8"/>
      <w:r w:rsidDel="00000000" w:rsidR="00000000" w:rsidRPr="00000000">
        <w:rPr>
          <w:color w:val="cc2909"/>
          <w:rtl w:val="0"/>
        </w:rPr>
        <w:t xml:space="preserve">|</w:t>
      </w:r>
      <w:r w:rsidDel="00000000" w:rsidR="00000000" w:rsidRPr="00000000">
        <w:rPr>
          <w:rtl w:val="0"/>
        </w:rPr>
        <w:t xml:space="preserve"> Feminine nouns ending in a consonant</w:t>
      </w:r>
    </w:p>
    <w:p w:rsidR="00000000" w:rsidDel="00000000" w:rsidP="00000000" w:rsidRDefault="00000000" w:rsidRPr="00000000" w14:paraId="00000061">
      <w:pPr>
        <w:rPr/>
      </w:pPr>
      <w:r w:rsidDel="00000000" w:rsidR="00000000" w:rsidRPr="00000000">
        <w:rPr>
          <w:rtl w:val="0"/>
        </w:rPr>
        <w:t xml:space="preserve">We already talked about feminine nouns that end in –ost. Thus, it’s easy to recognize them and use the appropriate endings. Today you encountered a few more feminine nouns that end in a consonant. However, these do not have the ending –ost. They are completely irregular, and they need to be memorized as such.</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4"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spacing w:line="240" w:lineRule="auto"/>
              <w:jc w:val="center"/>
              <w:rPr/>
            </w:pPr>
            <w:hyperlink r:id="rId12">
              <w:r w:rsidDel="00000000" w:rsidR="00000000" w:rsidRPr="00000000">
                <w:rPr>
                  <w:color w:val="1155cc"/>
                  <w:u w:val="single"/>
                </w:rPr>
                <w:drawing>
                  <wp:inline distB="114300" distT="114300" distL="114300" distR="114300">
                    <wp:extent cx="1847850" cy="927100"/>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847850" cy="9271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jc w:val="center"/>
              <w:rPr/>
            </w:pPr>
            <w:hyperlink r:id="rId14">
              <w:r w:rsidDel="00000000" w:rsidR="00000000" w:rsidRPr="00000000">
                <w:rPr>
                  <w:color w:val="1155cc"/>
                  <w:u w:val="single"/>
                </w:rPr>
                <w:drawing>
                  <wp:inline distB="114300" distT="114300" distL="114300" distR="114300">
                    <wp:extent cx="1847850" cy="1219200"/>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47850" cy="12192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spacing w:line="240" w:lineRule="auto"/>
              <w:jc w:val="center"/>
              <w:rPr/>
            </w:pPr>
            <w:hyperlink r:id="rId16">
              <w:r w:rsidDel="00000000" w:rsidR="00000000" w:rsidRPr="00000000">
                <w:rPr>
                  <w:color w:val="1155cc"/>
                  <w:u w:val="single"/>
                </w:rPr>
                <w:drawing>
                  <wp:inline distB="114300" distT="114300" distL="114300" distR="114300">
                    <wp:extent cx="1847850" cy="1066800"/>
                    <wp:effectExtent b="0" l="0" r="0" t="0"/>
                    <wp:docPr id="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847850" cy="10668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65">
            <w:pPr>
              <w:spacing w:line="240" w:lineRule="auto"/>
              <w:jc w:val="center"/>
              <w:rPr/>
            </w:pPr>
            <w:r w:rsidDel="00000000" w:rsidR="00000000" w:rsidRPr="00000000">
              <w:rPr>
                <w:rtl w:val="0"/>
              </w:rPr>
              <w:t xml:space="preserve">kost</w:t>
            </w:r>
          </w:p>
          <w:p w:rsidR="00000000" w:rsidDel="00000000" w:rsidP="00000000" w:rsidRDefault="00000000" w:rsidRPr="00000000" w14:paraId="00000066">
            <w:pPr>
              <w:spacing w:line="240" w:lineRule="auto"/>
              <w:jc w:val="center"/>
              <w:rPr/>
            </w:pPr>
            <w:r w:rsidDel="00000000" w:rsidR="00000000" w:rsidRPr="00000000">
              <w:rPr>
                <w:rtl w:val="0"/>
              </w:rPr>
              <w:t xml:space="preserve">(bone)</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67">
            <w:pPr>
              <w:spacing w:line="240" w:lineRule="auto"/>
              <w:jc w:val="center"/>
              <w:rPr/>
            </w:pPr>
            <w:r w:rsidDel="00000000" w:rsidR="00000000" w:rsidRPr="00000000">
              <w:rPr>
                <w:rtl w:val="0"/>
              </w:rPr>
              <w:t xml:space="preserve">smrt</w:t>
            </w:r>
            <w:r w:rsidDel="00000000" w:rsidR="00000000" w:rsidRPr="00000000">
              <w:rPr>
                <w:rtl w:val="0"/>
              </w:rPr>
              <w:t xml:space="preserve"> </w:t>
            </w:r>
          </w:p>
          <w:p w:rsidR="00000000" w:rsidDel="00000000" w:rsidP="00000000" w:rsidRDefault="00000000" w:rsidRPr="00000000" w14:paraId="00000068">
            <w:pPr>
              <w:spacing w:line="240" w:lineRule="auto"/>
              <w:jc w:val="center"/>
              <w:rPr/>
            </w:pPr>
            <w:r w:rsidDel="00000000" w:rsidR="00000000" w:rsidRPr="00000000">
              <w:rPr>
                <w:rtl w:val="0"/>
              </w:rPr>
              <w:t xml:space="preserve">(death)</w:t>
            </w:r>
          </w:p>
        </w:tc>
        <w:tc>
          <w:tcPr>
            <w:tcBorders>
              <w:top w:color="000000" w:space="0" w:sz="0" w:val="nil"/>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9">
            <w:pPr>
              <w:spacing w:line="240" w:lineRule="auto"/>
              <w:jc w:val="center"/>
              <w:rPr/>
            </w:pPr>
            <w:r w:rsidDel="00000000" w:rsidR="00000000" w:rsidRPr="00000000">
              <w:rPr>
                <w:rtl w:val="0"/>
              </w:rPr>
              <w:t xml:space="preserve">bolest</w:t>
            </w:r>
          </w:p>
          <w:p w:rsidR="00000000" w:rsidDel="00000000" w:rsidP="00000000" w:rsidRDefault="00000000" w:rsidRPr="00000000" w14:paraId="0000006A">
            <w:pPr>
              <w:spacing w:line="240" w:lineRule="auto"/>
              <w:jc w:val="center"/>
              <w:rPr/>
            </w:pPr>
            <w:r w:rsidDel="00000000" w:rsidR="00000000" w:rsidRPr="00000000">
              <w:rPr>
                <w:rtl w:val="0"/>
              </w:rPr>
              <w:t xml:space="preserve">(sickness)</w:t>
            </w:r>
          </w:p>
        </w:tc>
      </w:tr>
    </w:tbl>
    <w:p w:rsidR="00000000" w:rsidDel="00000000" w:rsidP="00000000" w:rsidRDefault="00000000" w:rsidRPr="00000000" w14:paraId="0000006B">
      <w:pPr>
        <w:rPr/>
      </w:pPr>
      <w:r w:rsidDel="00000000" w:rsidR="00000000" w:rsidRPr="00000000">
        <w:rPr>
          <w:rtl w:val="0"/>
        </w:rPr>
        <w:t xml:space="preserve">These irregular nouns will follow the same declension pattern as feminine nouns that end in –ost. Look back at the Grammar section in this Unit’s </w:t>
      </w:r>
      <w:hyperlink r:id="rId18">
        <w:r w:rsidDel="00000000" w:rsidR="00000000" w:rsidRPr="00000000">
          <w:rPr>
            <w:color w:val="1155cc"/>
            <w:u w:val="single"/>
            <w:rtl w:val="0"/>
          </w:rPr>
          <w:t xml:space="preserve">Module 2 - Lesson 1</w:t>
        </w:r>
      </w:hyperlink>
      <w:r w:rsidDel="00000000" w:rsidR="00000000" w:rsidRPr="00000000">
        <w:rPr>
          <w:rtl w:val="0"/>
        </w:rPr>
        <w:t xml:space="preserve"> (section: Feminine nouns in –ost). </w:t>
      </w:r>
    </w:p>
    <w:p w:rsidR="00000000" w:rsidDel="00000000" w:rsidP="00000000" w:rsidRDefault="00000000" w:rsidRPr="00000000" w14:paraId="0000006C">
      <w:pPr>
        <w:pStyle w:val="Heading1"/>
        <w:rPr/>
      </w:pPr>
      <w:bookmarkStart w:colFirst="0" w:colLast="0" w:name="_2bqr282ctqk6" w:id="9"/>
      <w:bookmarkEnd w:id="9"/>
      <w:r w:rsidDel="00000000" w:rsidR="00000000" w:rsidRPr="00000000">
        <w:rPr>
          <w:color w:val="cc2909"/>
          <w:rtl w:val="0"/>
        </w:rPr>
        <w:t xml:space="preserve">|</w:t>
      </w:r>
      <w:r w:rsidDel="00000000" w:rsidR="00000000" w:rsidRPr="00000000">
        <w:rPr>
          <w:rtl w:val="0"/>
        </w:rPr>
        <w:t xml:space="preserve"> Irregular nouns</w:t>
      </w:r>
    </w:p>
    <w:p w:rsidR="00000000" w:rsidDel="00000000" w:rsidP="00000000" w:rsidRDefault="00000000" w:rsidRPr="00000000" w14:paraId="0000006D">
      <w:pPr>
        <w:rPr/>
      </w:pPr>
      <w:r w:rsidDel="00000000" w:rsidR="00000000" w:rsidRPr="00000000">
        <w:rPr>
          <w:rtl w:val="0"/>
        </w:rPr>
        <w:t xml:space="preserve">In this lesson you encountered some other irregular nouns. Their irregularity is reflected in different forms. Look at the following division.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Some nouns will only have a plural form.</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jc w:val="center"/>
              <w:rPr/>
            </w:pPr>
            <w:hyperlink r:id="rId19">
              <w:r w:rsidDel="00000000" w:rsidR="00000000" w:rsidRPr="00000000">
                <w:rPr>
                  <w:color w:val="1155cc"/>
                  <w:u w:val="single"/>
                </w:rPr>
                <w:drawing>
                  <wp:inline distB="114300" distT="114300" distL="114300" distR="114300">
                    <wp:extent cx="1847850" cy="1244600"/>
                    <wp:effectExtent b="0" l="0" r="0" t="0"/>
                    <wp:docPr id="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847850" cy="1244600"/>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jc w:val="center"/>
              <w:rPr/>
            </w:pPr>
            <w:hyperlink r:id="rId21">
              <w:r w:rsidDel="00000000" w:rsidR="00000000" w:rsidRPr="00000000">
                <w:rPr>
                  <w:color w:val="1155cc"/>
                  <w:u w:val="single"/>
                </w:rPr>
                <w:drawing>
                  <wp:inline distB="114300" distT="114300" distL="114300" distR="114300">
                    <wp:extent cx="1247208" cy="1247208"/>
                    <wp:effectExtent b="0" l="0" r="0" t="0"/>
                    <wp:docPr id="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247208" cy="1247208"/>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jc w:val="center"/>
              <w:rPr/>
            </w:pPr>
            <w:hyperlink r:id="rId23">
              <w:r w:rsidDel="00000000" w:rsidR="00000000" w:rsidRPr="00000000">
                <w:rPr>
                  <w:color w:val="1155cc"/>
                  <w:u w:val="single"/>
                </w:rPr>
                <w:drawing>
                  <wp:inline distB="114300" distT="114300" distL="114300" distR="114300">
                    <wp:extent cx="1195388" cy="1176902"/>
                    <wp:effectExtent b="0" l="0" r="0" t="0"/>
                    <wp:docPr id="7"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195388" cy="1176902"/>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jc w:val="center"/>
              <w:rPr/>
            </w:pPr>
            <w:r w:rsidDel="00000000" w:rsidR="00000000" w:rsidRPr="00000000">
              <w:rPr>
                <w:rtl w:val="0"/>
              </w:rPr>
              <w:t xml:space="preserve">leđa </w:t>
            </w:r>
          </w:p>
          <w:p w:rsidR="00000000" w:rsidDel="00000000" w:rsidP="00000000" w:rsidRDefault="00000000" w:rsidRPr="00000000" w14:paraId="00000075">
            <w:pPr>
              <w:spacing w:line="240" w:lineRule="auto"/>
              <w:jc w:val="center"/>
              <w:rPr/>
            </w:pPr>
            <w:r w:rsidDel="00000000" w:rsidR="00000000" w:rsidRPr="00000000">
              <w:rPr>
                <w:rtl w:val="0"/>
              </w:rPr>
              <w:t xml:space="preserve">(back)</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jc w:val="center"/>
              <w:rPr/>
            </w:pPr>
            <w:r w:rsidDel="00000000" w:rsidR="00000000" w:rsidRPr="00000000">
              <w:rPr>
                <w:rtl w:val="0"/>
              </w:rPr>
              <w:t xml:space="preserve">jetra </w:t>
            </w:r>
          </w:p>
          <w:p w:rsidR="00000000" w:rsidDel="00000000" w:rsidP="00000000" w:rsidRDefault="00000000" w:rsidRPr="00000000" w14:paraId="00000077">
            <w:pPr>
              <w:spacing w:line="240" w:lineRule="auto"/>
              <w:jc w:val="center"/>
              <w:rPr/>
            </w:pPr>
            <w:r w:rsidDel="00000000" w:rsidR="00000000" w:rsidRPr="00000000">
              <w:rPr>
                <w:rtl w:val="0"/>
              </w:rPr>
              <w:t xml:space="preserve">(liver)</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jc w:val="center"/>
              <w:rPr/>
            </w:pPr>
            <w:r w:rsidDel="00000000" w:rsidR="00000000" w:rsidRPr="00000000">
              <w:rPr>
                <w:rtl w:val="0"/>
              </w:rPr>
              <w:t xml:space="preserve">pluća </w:t>
            </w:r>
          </w:p>
          <w:p w:rsidR="00000000" w:rsidDel="00000000" w:rsidP="00000000" w:rsidRDefault="00000000" w:rsidRPr="00000000" w14:paraId="00000079">
            <w:pPr>
              <w:spacing w:line="240" w:lineRule="auto"/>
              <w:jc w:val="center"/>
              <w:rPr/>
            </w:pPr>
            <w:r w:rsidDel="00000000" w:rsidR="00000000" w:rsidRPr="00000000">
              <w:rPr>
                <w:rtl w:val="0"/>
              </w:rPr>
              <w:t xml:space="preserve">(lungs)</w:t>
            </w:r>
          </w:p>
        </w:tc>
      </w:tr>
      <w:tr>
        <w:trPr>
          <w:cantSplit w:val="0"/>
          <w:trHeight w:val="440" w:hRule="atLeast"/>
          <w:tblHeader w:val="0"/>
        </w:trPr>
        <w:tc>
          <w:tcPr>
            <w:gridSpan w:val="3"/>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Some of them have differences between their singular and plural forms.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spacing w:line="240" w:lineRule="auto"/>
              <w:jc w:val="center"/>
              <w:rPr/>
            </w:pPr>
            <w:hyperlink r:id="rId25">
              <w:r w:rsidDel="00000000" w:rsidR="00000000" w:rsidRPr="00000000">
                <w:rPr>
                  <w:color w:val="1155cc"/>
                  <w:u w:val="single"/>
                </w:rPr>
                <w:drawing>
                  <wp:inline distB="114300" distT="114300" distL="114300" distR="114300">
                    <wp:extent cx="1847850" cy="1155700"/>
                    <wp:effectExtent b="0" l="0" r="0" t="0"/>
                    <wp:docPr id="2"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1847850" cy="11557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jc w:val="center"/>
              <w:rPr/>
            </w:pPr>
            <w:hyperlink r:id="rId27">
              <w:r w:rsidDel="00000000" w:rsidR="00000000" w:rsidRPr="00000000">
                <w:rPr>
                  <w:color w:val="1155cc"/>
                  <w:u w:val="single"/>
                </w:rPr>
                <w:drawing>
                  <wp:inline distB="114300" distT="114300" distL="114300" distR="114300">
                    <wp:extent cx="996713" cy="848441"/>
                    <wp:effectExtent b="0" l="0" r="0" t="0"/>
                    <wp:docPr id="10"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996713" cy="848441"/>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spacing w:line="240" w:lineRule="auto"/>
              <w:jc w:val="center"/>
              <w:rPr/>
            </w:pPr>
            <w:hyperlink r:id="rId29">
              <w:r w:rsidDel="00000000" w:rsidR="00000000" w:rsidRPr="00000000">
                <w:rPr>
                  <w:color w:val="1155cc"/>
                  <w:u w:val="single"/>
                </w:rPr>
                <w:drawing>
                  <wp:inline distB="114300" distT="114300" distL="114300" distR="114300">
                    <wp:extent cx="1176338" cy="832314"/>
                    <wp:effectExtent b="0" l="0" r="0" t="0"/>
                    <wp:docPr id="8"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1176338" cy="832314"/>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jc w:val="center"/>
              <w:rPr/>
            </w:pPr>
            <w:r w:rsidDel="00000000" w:rsidR="00000000" w:rsidRPr="00000000">
              <w:rPr>
                <w:rtl w:val="0"/>
              </w:rPr>
              <w:t xml:space="preserve">rame – ramena</w:t>
            </w:r>
          </w:p>
          <w:p w:rsidR="00000000" w:rsidDel="00000000" w:rsidP="00000000" w:rsidRDefault="00000000" w:rsidRPr="00000000" w14:paraId="00000081">
            <w:pPr>
              <w:spacing w:line="240" w:lineRule="auto"/>
              <w:jc w:val="center"/>
              <w:rPr/>
            </w:pPr>
            <w:r w:rsidDel="00000000" w:rsidR="00000000" w:rsidRPr="00000000">
              <w:rPr>
                <w:rtl w:val="0"/>
              </w:rPr>
              <w:t xml:space="preserve">(shoulder - shoulders)</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jc w:val="center"/>
              <w:rPr/>
            </w:pPr>
            <w:r w:rsidDel="00000000" w:rsidR="00000000" w:rsidRPr="00000000">
              <w:rPr>
                <w:rtl w:val="0"/>
              </w:rPr>
              <w:t xml:space="preserve">mozak – mozgovi</w:t>
            </w:r>
          </w:p>
          <w:p w:rsidR="00000000" w:rsidDel="00000000" w:rsidP="00000000" w:rsidRDefault="00000000" w:rsidRPr="00000000" w14:paraId="00000083">
            <w:pPr>
              <w:spacing w:line="240" w:lineRule="auto"/>
              <w:jc w:val="center"/>
              <w:rPr/>
            </w:pPr>
            <w:r w:rsidDel="00000000" w:rsidR="00000000" w:rsidRPr="00000000">
              <w:rPr>
                <w:rtl w:val="0"/>
              </w:rPr>
              <w:t xml:space="preserve">(brain - brains)</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4">
            <w:pPr>
              <w:spacing w:line="240" w:lineRule="auto"/>
              <w:jc w:val="center"/>
              <w:rPr/>
            </w:pPr>
            <w:r w:rsidDel="00000000" w:rsidR="00000000" w:rsidRPr="00000000">
              <w:rPr>
                <w:rtl w:val="0"/>
              </w:rPr>
              <w:t xml:space="preserve">bubreg – bubrezi</w:t>
            </w:r>
          </w:p>
          <w:p w:rsidR="00000000" w:rsidDel="00000000" w:rsidP="00000000" w:rsidRDefault="00000000" w:rsidRPr="00000000" w14:paraId="00000085">
            <w:pPr>
              <w:spacing w:line="240" w:lineRule="auto"/>
              <w:jc w:val="center"/>
              <w:rPr/>
            </w:pPr>
            <w:r w:rsidDel="00000000" w:rsidR="00000000" w:rsidRPr="00000000">
              <w:rPr>
                <w:rtl w:val="0"/>
              </w:rPr>
              <w:t xml:space="preserve">(kidney - kidneys)</w:t>
            </w:r>
          </w:p>
        </w:tc>
      </w:tr>
    </w:tbl>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Images used in this document are from </w:t>
      </w:r>
      <w:hyperlink r:id="rId31">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32" w:type="default"/>
      <w:footerReference r:id="rId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pPr>
    <w:r w:rsidDel="00000000" w:rsidR="00000000" w:rsidRPr="00000000">
      <w:rPr/>
      <w:drawing>
        <wp:inline distB="114300" distT="114300" distL="114300" distR="114300">
          <wp:extent cx="941832" cy="329641"/>
          <wp:effectExtent b="0" l="0" r="0" t="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6" name="image8.png"/>
          <a:graphic>
            <a:graphicData uri="http://schemas.openxmlformats.org/drawingml/2006/picture">
              <pic:pic>
                <pic:nvPicPr>
                  <pic:cNvPr id="0" name="image8.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jc w:val="right"/>
      <w:rPr>
        <w:b w:val="1"/>
        <w:sz w:val="24"/>
        <w:szCs w:val="24"/>
      </w:rPr>
    </w:pPr>
    <w:r w:rsidDel="00000000" w:rsidR="00000000" w:rsidRPr="00000000">
      <w:rPr>
        <w:b w:val="1"/>
        <w:sz w:val="28"/>
        <w:szCs w:val="28"/>
        <w:rtl w:val="0"/>
      </w:rPr>
      <w:t xml:space="preserve">9 |</w:t>
    </w:r>
    <w:r w:rsidDel="00000000" w:rsidR="00000000" w:rsidRPr="00000000">
      <w:rPr>
        <w:b w:val="1"/>
        <w:sz w:val="24"/>
        <w:szCs w:val="24"/>
        <w:rtl w:val="0"/>
      </w:rPr>
      <w:t xml:space="preserve"> Modul 3: Gramatika</w:t>
    </w:r>
  </w:p>
  <w:p w:rsidR="00000000" w:rsidDel="00000000" w:rsidP="00000000" w:rsidRDefault="00000000" w:rsidRPr="00000000" w14:paraId="0000008A">
    <w:pPr>
      <w:jc w:val="right"/>
      <w:rPr>
        <w:i w:val="1"/>
        <w:sz w:val="24"/>
        <w:szCs w:val="24"/>
      </w:rPr>
    </w:pPr>
    <w:r w:rsidDel="00000000" w:rsidR="00000000" w:rsidRPr="00000000">
      <w:rPr>
        <w:i w:val="1"/>
        <w:sz w:val="24"/>
        <w:szCs w:val="24"/>
        <w:rtl w:val="0"/>
      </w:rPr>
      <w:t xml:space="preserve">Kod doktora</w:t>
    </w:r>
  </w:p>
  <w:p w:rsidR="00000000" w:rsidDel="00000000" w:rsidP="00000000" w:rsidRDefault="00000000" w:rsidRPr="00000000" w14:paraId="0000008B">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hyperlink" Target="https://www.maxpixel.net/Fatty-Liver-Bile-Liver-Hepatic-Jaundice-Organ-4081243" TargetMode="External"/><Relationship Id="rId24" Type="http://schemas.openxmlformats.org/officeDocument/2006/relationships/image" Target="media/image10.png"/><Relationship Id="rId23" Type="http://schemas.openxmlformats.org/officeDocument/2006/relationships/hyperlink" Target="https://pixabay.com/vectors/lungs-organ-anatomy-bronchia-15428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oatian.takolako.org/wp-content/uploads/BOJITE_SE.mp3" TargetMode="External"/><Relationship Id="rId26" Type="http://schemas.openxmlformats.org/officeDocument/2006/relationships/image" Target="media/image7.png"/><Relationship Id="rId25" Type="http://schemas.openxmlformats.org/officeDocument/2006/relationships/hyperlink" Target="https://www.maxpixel.net/Spine-Move-Back-Pain-Man-Woman-Body-822609" TargetMode="External"/><Relationship Id="rId28" Type="http://schemas.openxmlformats.org/officeDocument/2006/relationships/image" Target="media/image5.png"/><Relationship Id="rId27" Type="http://schemas.openxmlformats.org/officeDocument/2006/relationships/hyperlink" Target="https://pixabay.com/vectors/brain-human-anatomy-body-155656/" TargetMode="External"/><Relationship Id="rId5" Type="http://schemas.openxmlformats.org/officeDocument/2006/relationships/styles" Target="styles.xml"/><Relationship Id="rId6" Type="http://schemas.openxmlformats.org/officeDocument/2006/relationships/hyperlink" Target="https://croatian.takolako.org/wp-content/uploads/BOJIM_SE.mp3" TargetMode="External"/><Relationship Id="rId29" Type="http://schemas.openxmlformats.org/officeDocument/2006/relationships/hyperlink" Target="https://pixabay.com/vectors/kidney-anatomy-human-man-organ-147499/" TargetMode="External"/><Relationship Id="rId7" Type="http://schemas.openxmlformats.org/officeDocument/2006/relationships/hyperlink" Target="https://croatian.takolako.org/wp-content/uploads/BOJIMO_SE.mp3" TargetMode="External"/><Relationship Id="rId8" Type="http://schemas.openxmlformats.org/officeDocument/2006/relationships/hyperlink" Target="https://croatian.takolako.org/wp-content/uploads/BOJIS_SE.mp3" TargetMode="External"/><Relationship Id="rId31" Type="http://schemas.openxmlformats.org/officeDocument/2006/relationships/hyperlink" Target="https://docs.google.com/document/d/1Km6wKn-eA8Cniwc6t82m6qmAIgdFr_VZH3IfiOVNti8/edit#heading=h.ou6sok6ab3dc" TargetMode="External"/><Relationship Id="rId30" Type="http://schemas.openxmlformats.org/officeDocument/2006/relationships/image" Target="media/image6.png"/><Relationship Id="rId11" Type="http://schemas.openxmlformats.org/officeDocument/2006/relationships/hyperlink" Target="https://croatian.takolako.org/wp-content/uploads/BOJE_SE.mp3" TargetMode="External"/><Relationship Id="rId33" Type="http://schemas.openxmlformats.org/officeDocument/2006/relationships/footer" Target="footer1.xml"/><Relationship Id="rId10" Type="http://schemas.openxmlformats.org/officeDocument/2006/relationships/hyperlink" Target="https://croatian.takolako.org/wp-content/uploads/BOJI_SE.mp3" TargetMode="External"/><Relationship Id="rId32"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hyperlink" Target="https://pixabay.com/vectors/bone-dog-skeleton-157272/" TargetMode="External"/><Relationship Id="rId15" Type="http://schemas.openxmlformats.org/officeDocument/2006/relationships/image" Target="media/image3.png"/><Relationship Id="rId14" Type="http://schemas.openxmlformats.org/officeDocument/2006/relationships/hyperlink" Target="https://pixabay.com/vectors/burial-cemetery-cross-dead-death-1299277/" TargetMode="External"/><Relationship Id="rId17" Type="http://schemas.openxmlformats.org/officeDocument/2006/relationships/image" Target="media/image4.png"/><Relationship Id="rId16" Type="http://schemas.openxmlformats.org/officeDocument/2006/relationships/hyperlink" Target="https://pixabay.com/vectors/fever-sick-thermometer-woman-bed-310721/" TargetMode="External"/><Relationship Id="rId19" Type="http://schemas.openxmlformats.org/officeDocument/2006/relationships/hyperlink" Target="https://pixabay.com/illustrations/massage-back-pain-woman-man-neck-3429200/" TargetMode="External"/><Relationship Id="rId18" Type="http://schemas.openxmlformats.org/officeDocument/2006/relationships/hyperlink" Target="https://croatian.takolako.org/c9/m2/lekcija1/gram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