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mě bolí hlava, tak si většinou vezmu prášek.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vezmu (vzít) si prášek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take a pill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Jaroslav: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Nebolí mě hlava nikdy. - Vůbec? - Ne.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vůbec (ne)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all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Naštěstí mě hlava moc často nebolí, ale asi nejlepší je se napít pořádně vody.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naštěstí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fortunately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nejlepší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the best (thing)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pořádně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properly, thoroughly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mě bolí hlava, když mě bolí hlava hodně, tak si vezmu nějaký prášek, nějakou tabletku proti bolesti hlavy.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tabletka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tablet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proti bolesti hlavy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for a headache (lit. against a headache)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mě bolí hlava, tak začnu hodně pít vody. - Jo? A třeba nějaký prášek? - Když to nepomůže, tak si vezmu nějakej (nějaký) prášek.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začnu (začít)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begin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když to nepomůže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if it doesn’t help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