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 tak většinou jsem někde doma v teple.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teple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the warmth (i.e. where it’s warm)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sněží, tak já mám ráda, když si hraju s dětmi a stavíme sněhuláka a koulujeme se a prostě si hrajeme se sněhem.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hrát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play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 dětmi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children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stavět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build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sněhulák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 snowman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koulovat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throw snowballs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prostě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simply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sníh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snow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se sněhem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snow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sněží, tak v Čechách jezdíme na hory, nebo chodíme na běžky nebo na brusle.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 hory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the mountains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chodit na běžky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go cross country skiing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sněží, tak třeba když mám kabát, tak si přetáhnu kapucu (kapuci) přes hlavu a vezmu si nějaký (nějaké) boty, třeba kozačky.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přetáhnout si kapuci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pull over (one’s) hood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přes hlavu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over (one’s) head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vezmu (vzít) si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put 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Michal: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Když sněží, tak samozřejmě nejradši vezmu lyže a jedu na hory a lyžuju.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vezmu lyže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take, grab skis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jedu (jet) na hory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go to the mountains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