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od51jrr2xug" w:id="0"/>
      <w:bookmarkEnd w:id="0"/>
      <w:r w:rsidDel="00000000" w:rsidR="00000000" w:rsidRPr="00000000">
        <w:rPr>
          <w:rtl w:val="0"/>
        </w:rPr>
        <w:t xml:space="preserve">3.2 - the verb </w:t>
      </w:r>
      <w:r w:rsidDel="00000000" w:rsidR="00000000" w:rsidRPr="00000000">
        <w:rPr>
          <w:i w:val="1"/>
          <w:rtl w:val="0"/>
        </w:rPr>
        <w:t xml:space="preserve">jíst </w:t>
      </w:r>
      <w:r w:rsidDel="00000000" w:rsidR="00000000" w:rsidRPr="00000000">
        <w:rPr>
          <w:rtl w:val="0"/>
        </w:rPr>
        <w:t xml:space="preserve">- to eat</w:t>
      </w:r>
    </w:p>
    <w:p w:rsidR="00000000" w:rsidDel="00000000" w:rsidP="00000000" w:rsidRDefault="00000000" w:rsidRPr="00000000" w14:paraId="00000002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Since we’re learning about food, we need to learn 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jíst</w:t>
      </w:r>
      <w:r w:rsidDel="00000000" w:rsidR="00000000" w:rsidRPr="00000000">
        <w:rPr>
          <w:sz w:val="24"/>
          <w:szCs w:val="24"/>
          <w:rtl w:val="0"/>
        </w:rPr>
        <w:t xml:space="preserve"> - to eat. This is obviously an important verb, and just like all the important things you have to learn, it’s a tiny bit irregular.</w:t>
      </w:r>
    </w:p>
    <w:p w:rsidR="00000000" w:rsidDel="00000000" w:rsidP="00000000" w:rsidRDefault="00000000" w:rsidRPr="00000000" w14:paraId="00000004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118735" cy="3123038"/>
              <wp:effectExtent b="0" l="0" r="0" t="0"/>
              <wp:docPr descr="1273731.jpg" id="4" name="image5.jpg"/>
              <a:graphic>
                <a:graphicData uri="http://schemas.openxmlformats.org/drawingml/2006/picture">
                  <pic:pic>
                    <pic:nvPicPr>
                      <pic:cNvPr descr="1273731.jpg" id="0" name="image5.jp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18735" cy="312303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Here it is. As you can see, for the most part it looks like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an -í- verb</w:t>
        </w:r>
      </w:hyperlink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ind w:firstLine="720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jíst</w:t>
      </w:r>
      <w:r w:rsidDel="00000000" w:rsidR="00000000" w:rsidRPr="00000000">
        <w:rPr>
          <w:sz w:val="24"/>
          <w:szCs w:val="24"/>
          <w:rtl w:val="0"/>
        </w:rPr>
        <w:t xml:space="preserve"> - </w:t>
      </w:r>
      <w:r w:rsidDel="00000000" w:rsidR="00000000" w:rsidRPr="00000000">
        <w:rPr>
          <w:sz w:val="24"/>
          <w:szCs w:val="24"/>
          <w:rtl w:val="0"/>
        </w:rPr>
        <w:t xml:space="preserve">to eat</w:t>
      </w:r>
      <w:r w:rsidDel="00000000" w:rsidR="00000000" w:rsidRPr="00000000">
        <w:rPr>
          <w:rtl w:val="0"/>
        </w:rPr>
      </w:r>
    </w:p>
    <w:tbl>
      <w:tblPr>
        <w:tblStyle w:val="Table1"/>
        <w:tblW w:w="814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2010"/>
        <w:gridCol w:w="1755"/>
        <w:gridCol w:w="2670"/>
        <w:tblGridChange w:id="0">
          <w:tblGrid>
            <w:gridCol w:w="1710"/>
            <w:gridCol w:w="2010"/>
            <w:gridCol w:w="1755"/>
            <w:gridCol w:w="267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jím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‘I eat, am eating’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jíme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‘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we eat, are eating’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jíš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eat, are eating’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jíte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‘you eat, are eating’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jí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‘he/she eats, is eating’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cyan"/>
                <w:rtl w:val="0"/>
              </w:rPr>
              <w:t xml:space="preserve">jedí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‘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they eat, are eating’</w:t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However, the 3rd-person plural form is </w:t>
      </w:r>
      <w:r w:rsidDel="00000000" w:rsidR="00000000" w:rsidRPr="00000000">
        <w:rPr>
          <w:i w:val="1"/>
          <w:sz w:val="24"/>
          <w:szCs w:val="24"/>
          <w:rtl w:val="0"/>
        </w:rPr>
        <w:t xml:space="preserve">jedí</w:t>
      </w:r>
      <w:r w:rsidDel="00000000" w:rsidR="00000000" w:rsidRPr="00000000">
        <w:rPr>
          <w:sz w:val="24"/>
          <w:szCs w:val="24"/>
          <w:rtl w:val="0"/>
        </w:rPr>
        <w:t xml:space="preserve">. While this may be hard to remember at first, m</w:t>
      </w:r>
      <w:r w:rsidDel="00000000" w:rsidR="00000000" w:rsidRPr="00000000">
        <w:rPr>
          <w:sz w:val="24"/>
          <w:szCs w:val="24"/>
          <w:rtl w:val="0"/>
        </w:rPr>
        <w:t xml:space="preserve">y favorite way to remember this irregular form is of course the fact that it looks like the word </w:t>
      </w:r>
      <w:r w:rsidDel="00000000" w:rsidR="00000000" w:rsidRPr="00000000">
        <w:rPr>
          <w:i w:val="1"/>
          <w:sz w:val="24"/>
          <w:szCs w:val="24"/>
          <w:rtl w:val="0"/>
        </w:rPr>
        <w:t xml:space="preserve">Jedi</w:t>
      </w:r>
      <w:r w:rsidDel="00000000" w:rsidR="00000000" w:rsidRPr="00000000">
        <w:rPr>
          <w:sz w:val="24"/>
          <w:szCs w:val="24"/>
          <w:rtl w:val="0"/>
        </w:rPr>
        <w:t xml:space="preserve">, you know....</w:t>
      </w:r>
    </w:p>
    <w:p w:rsidR="00000000" w:rsidDel="00000000" w:rsidP="00000000" w:rsidRDefault="00000000" w:rsidRPr="00000000" w14:paraId="0000001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center"/>
        <w:rPr>
          <w:sz w:val="24"/>
          <w:szCs w:val="24"/>
        </w:rPr>
      </w:pPr>
      <w:hyperlink r:id="rId9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143500" cy="3171825"/>
              <wp:effectExtent b="0" l="0" r="0" t="0"/>
              <wp:docPr descr="download.png" id="3" name="image2.png"/>
              <a:graphic>
                <a:graphicData uri="http://schemas.openxmlformats.org/drawingml/2006/picture">
                  <pic:pic>
                    <pic:nvPicPr>
                      <pic:cNvPr descr="download.png" id="0" name="image2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3500" cy="31718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Yes, I just made that stupid joke. We’ll all live…</w:t>
      </w:r>
    </w:p>
    <w:p w:rsidR="00000000" w:rsidDel="00000000" w:rsidP="00000000" w:rsidRDefault="00000000" w:rsidRPr="00000000" w14:paraId="0000001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Subtitle"/>
        <w:pageBreakBefore w:val="0"/>
        <w:rPr/>
      </w:pPr>
      <w:bookmarkStart w:colFirst="0" w:colLast="0" w:name="_7osy8iwap3jv" w:id="1"/>
      <w:bookmarkEnd w:id="1"/>
      <w:r w:rsidDel="00000000" w:rsidR="00000000" w:rsidRPr="00000000">
        <w:rPr>
          <w:rtl w:val="0"/>
        </w:rPr>
        <w:t xml:space="preserve">Using the verb </w:t>
      </w:r>
      <w:r w:rsidDel="00000000" w:rsidR="00000000" w:rsidRPr="00000000">
        <w:rPr>
          <w:i w:val="1"/>
          <w:rtl w:val="0"/>
        </w:rPr>
        <w:t xml:space="preserve">jíst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people eat something, the people (</w:t>
      </w:r>
      <w:r w:rsidDel="00000000" w:rsidR="00000000" w:rsidRPr="00000000">
        <w:rPr>
          <w:i w:val="1"/>
          <w:sz w:val="24"/>
          <w:szCs w:val="24"/>
          <w:rtl w:val="0"/>
        </w:rPr>
        <w:t xml:space="preserve">I, you, he, she, Karel, Pavel, students, etc.</w:t>
      </w:r>
      <w:r w:rsidDel="00000000" w:rsidR="00000000" w:rsidRPr="00000000">
        <w:rPr>
          <w:sz w:val="24"/>
          <w:szCs w:val="24"/>
          <w:rtl w:val="0"/>
        </w:rPr>
        <w:t xml:space="preserve">) are the subject. The thing they are eating is the direct object.</w:t>
      </w:r>
    </w:p>
    <w:p w:rsidR="00000000" w:rsidDel="00000000" w:rsidP="00000000" w:rsidRDefault="00000000" w:rsidRPr="00000000" w14:paraId="0000001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82700"/>
                    <wp:effectExtent b="0" l="0" r="0" t="0"/>
                    <wp:docPr id="5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8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1811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181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1847850" cy="12192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19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Pes jí </w:t>
            </w:r>
            <w:r w:rsidDel="00000000" w:rsidR="00000000" w:rsidRPr="00000000">
              <w:rPr>
                <w:i w:val="1"/>
                <w:sz w:val="24"/>
                <w:szCs w:val="24"/>
                <w:u w:val="single"/>
                <w:rtl w:val="0"/>
              </w:rPr>
              <w:t xml:space="preserve">hrušku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dog is eating a pear.</w:t>
            </w:r>
          </w:p>
        </w:tc>
        <w:tc>
          <w:tcPr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Lucka jí </w:t>
            </w:r>
            <w:r w:rsidDel="00000000" w:rsidR="00000000" w:rsidRPr="00000000">
              <w:rPr>
                <w:i w:val="1"/>
                <w:sz w:val="24"/>
                <w:szCs w:val="24"/>
                <w:u w:val="single"/>
                <w:rtl w:val="0"/>
              </w:rPr>
              <w:t xml:space="preserve">čokoládu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Lucka is eating chocolate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Často jíme </w:t>
            </w:r>
            <w:r w:rsidDel="00000000" w:rsidR="00000000" w:rsidRPr="00000000">
              <w:rPr>
                <w:i w:val="1"/>
                <w:sz w:val="24"/>
                <w:szCs w:val="24"/>
                <w:u w:val="single"/>
                <w:rtl w:val="0"/>
              </w:rPr>
              <w:t xml:space="preserve">guláš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often eat goulash.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Each of these is using the accusative ending for the direct object (thing being eaten). We will review these endings in the upcoming lessons.</w:t>
      </w:r>
    </w:p>
    <w:p w:rsidR="00000000" w:rsidDel="00000000" w:rsidP="00000000" w:rsidRDefault="00000000" w:rsidRPr="00000000" w14:paraId="0000002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F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lickr.com/photos/rpavich/7523760788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pixabay.com/en/chocolate-sweet-baby-blue-eyes-1283968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en/cookies-star-wars-light-saber-1344929/" TargetMode="External"/><Relationship Id="rId15" Type="http://schemas.openxmlformats.org/officeDocument/2006/relationships/hyperlink" Target="https://commons.wikimedia.org/wiki/File:Classic_Vienna-style_beef_goulash.jpg" TargetMode="External"/><Relationship Id="rId14" Type="http://schemas.openxmlformats.org/officeDocument/2006/relationships/image" Target="media/image4.png"/><Relationship Id="rId17" Type="http://schemas.openxmlformats.org/officeDocument/2006/relationships/hyperlink" Target="https://docs.google.com/document/d/1JlaI0O7h4GtnAtCG0C7zxTcXZpBmQTS1F4zGv-d11ZE/edit#heading=h.p8s9lxe7cg44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pixabay.com/p-981571/?no_redirect" TargetMode="External"/><Relationship Id="rId7" Type="http://schemas.openxmlformats.org/officeDocument/2006/relationships/image" Target="media/image5.jpg"/><Relationship Id="rId8" Type="http://schemas.openxmlformats.org/officeDocument/2006/relationships/hyperlink" Target="https://docs.google.com/document/d/e/2PACX-1vS5q85fC8emQvQyp5rPJY8YKiMLLRV4GB58uX-4Pev2eKjjQGX1NjjH1mkmJlNoYj7UVesEirvP-aQ2/pu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