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ageBreakBefore w:val="0"/>
        <w:rPr/>
      </w:pPr>
      <w:bookmarkStart w:colFirst="0" w:colLast="0" w:name="_r531qhyr4nwl" w:id="0"/>
      <w:bookmarkEnd w:id="0"/>
      <w:r w:rsidDel="00000000" w:rsidR="00000000" w:rsidRPr="00000000">
        <w:rPr>
          <w:rtl w:val="0"/>
        </w:rPr>
        <w:t xml:space="preserve">2.11 - Languages we know...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line="240" w:lineRule="auto"/>
        <w:rPr>
          <w:sz w:val="24"/>
          <w:szCs w:val="24"/>
        </w:rPr>
      </w:pPr>
      <w:hyperlink r:id="rId6">
        <w:r w:rsidDel="00000000" w:rsidR="00000000" w:rsidRPr="00000000">
          <w:rPr>
            <w:color w:val="1155cc"/>
            <w:sz w:val="24"/>
            <w:szCs w:val="24"/>
            <w:u w:val="single"/>
          </w:rPr>
          <w:drawing>
            <wp:inline distB="114300" distT="114300" distL="114300" distR="114300">
              <wp:extent cx="5534025" cy="3797300"/>
              <wp:effectExtent b="0" l="0" r="0" t="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7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34025" cy="3797300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lot of the verbs we have learned can be used to talk about your skills with other languages: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75.0" w:type="dxa"/>
        <w:jc w:val="left"/>
        <w:tblInd w:w="58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87.5"/>
        <w:gridCol w:w="4387.5"/>
        <w:tblGridChange w:id="0">
          <w:tblGrid>
            <w:gridCol w:w="4387.5"/>
            <w:gridCol w:w="4387.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číst (čt-)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read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mluvit </w:t>
            </w:r>
          </w:p>
        </w:tc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speak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psát (píš-) </w:t>
            </w:r>
          </w:p>
        </w:tc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write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rozumět </w:t>
            </w:r>
          </w:p>
        </w:tc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understand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učit se</w:t>
            </w:r>
          </w:p>
        </w:tc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study, learn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umět</w:t>
            </w:r>
          </w:p>
        </w:tc>
        <w:tc>
          <w:tcPr>
            <w:tcBorders>
              <w:top w:color="000000" w:space="0" w:sz="8" w:val="dotted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to know a skill</w:t>
            </w:r>
          </w:p>
        </w:tc>
      </w:tr>
    </w:tbl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These verbs can be used with various languages (see table below) to create sentences in Czech. 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firstLine="0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Mluvím česky.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speak Czech.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firstLine="0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Božena rozumí francouzsky.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Božena understands French.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firstLine="0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firstLine="0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Učíme se rusky.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We’re studying Russian.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firstLine="0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firstLine="0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Mluvíte anglicky?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 you speak English?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firstLine="0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firstLine="0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Učíme se česky.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We’re learning Czech.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widowControl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pStyle w:val="Subtitle"/>
              <w:pageBreakBefore w:val="0"/>
              <w:widowControl w:val="0"/>
              <w:rPr/>
            </w:pPr>
            <w:bookmarkStart w:colFirst="0" w:colLast="0" w:name="_p2o0h6a9mb9t" w:id="1"/>
            <w:bookmarkEnd w:id="1"/>
            <w:r w:rsidDel="00000000" w:rsidR="00000000" w:rsidRPr="00000000">
              <w:rPr>
                <w:rtl w:val="0"/>
              </w:rPr>
              <w:t xml:space="preserve">Language Adverbs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pageBreakBefore w:val="0"/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pageBreakBefore w:val="0"/>
              <w:widowControl w:val="0"/>
              <w:ind w:left="630" w:firstLine="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anglicky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pageBreakBefore w:val="0"/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English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pageBreakBefore w:val="0"/>
              <w:widowControl w:val="0"/>
              <w:ind w:left="630" w:firstLine="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francouzsky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pageBreakBefore w:val="0"/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French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pageBreakBefore w:val="0"/>
              <w:widowControl w:val="0"/>
              <w:ind w:left="630" w:firstLine="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italsky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pageBreakBefore w:val="0"/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Italian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pageBreakBefore w:val="0"/>
              <w:widowControl w:val="0"/>
              <w:ind w:left="630" w:firstLine="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japonsky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pageBreakBefore w:val="0"/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Japanese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pageBreakBefore w:val="0"/>
              <w:widowControl w:val="0"/>
              <w:ind w:left="630" w:firstLine="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německy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pageBreakBefore w:val="0"/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German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pageBreakBefore w:val="0"/>
              <w:widowControl w:val="0"/>
              <w:ind w:left="630" w:firstLine="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polsky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pageBreakBefore w:val="0"/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Polish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pageBreakBefore w:val="0"/>
              <w:widowControl w:val="0"/>
              <w:ind w:left="630" w:firstLine="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portugalsky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pageBreakBefore w:val="0"/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Portuguese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pageBreakBefore w:val="0"/>
              <w:widowControl w:val="0"/>
              <w:ind w:left="630" w:firstLine="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rusky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pageBreakBefore w:val="0"/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Russian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pageBreakBefore w:val="0"/>
              <w:widowControl w:val="0"/>
              <w:ind w:left="630" w:firstLine="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slovensky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pageBreakBefore w:val="0"/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Slovak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pageBreakBefore w:val="0"/>
              <w:widowControl w:val="0"/>
              <w:ind w:left="630" w:firstLine="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česky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pageBreakBefore w:val="0"/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Czech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pageBreakBefore w:val="0"/>
              <w:widowControl w:val="0"/>
              <w:ind w:left="630" w:firstLine="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čínsky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pageBreakBefore w:val="0"/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Chinese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pageBreakBefore w:val="0"/>
              <w:widowControl w:val="0"/>
              <w:ind w:left="630" w:firstLine="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španělsky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pageBreakBefore w:val="0"/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Spanish</w:t>
            </w:r>
          </w:p>
        </w:tc>
      </w:tr>
    </w:tbl>
    <w:p w:rsidR="00000000" w:rsidDel="00000000" w:rsidP="00000000" w:rsidRDefault="00000000" w:rsidRPr="00000000" w14:paraId="00000042">
      <w:pPr>
        <w:pageBreakBefore w:val="0"/>
        <w:widowControl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These forms are slightly different from the adjectives we’ve learned so far (adjectives would end with a long -ý). Technically speaking, these are adverbs (in that they describe how we speak). Just know  the difference between </w:t>
      </w:r>
      <w:r w:rsidDel="00000000" w:rsidR="00000000" w:rsidRPr="00000000">
        <w:rPr>
          <w:i w:val="1"/>
          <w:sz w:val="24"/>
          <w:szCs w:val="24"/>
          <w:rtl w:val="0"/>
        </w:rPr>
        <w:t xml:space="preserve">anglický slovník</w:t>
      </w:r>
      <w:r w:rsidDel="00000000" w:rsidR="00000000" w:rsidRPr="00000000">
        <w:rPr>
          <w:sz w:val="24"/>
          <w:szCs w:val="24"/>
          <w:rtl w:val="0"/>
        </w:rPr>
        <w:t xml:space="preserve"> (adjective used to describe a noun) and </w:t>
      </w:r>
      <w:r w:rsidDel="00000000" w:rsidR="00000000" w:rsidRPr="00000000">
        <w:rPr>
          <w:i w:val="1"/>
          <w:sz w:val="24"/>
          <w:szCs w:val="24"/>
          <w:rtl w:val="0"/>
        </w:rPr>
        <w:t xml:space="preserve">mluvím anglicky</w:t>
      </w:r>
      <w:r w:rsidDel="00000000" w:rsidR="00000000" w:rsidRPr="00000000">
        <w:rPr>
          <w:sz w:val="24"/>
          <w:szCs w:val="24"/>
          <w:rtl w:val="0"/>
        </w:rPr>
        <w:t xml:space="preserve"> (what language you speak).</w:t>
      </w:r>
    </w:p>
    <w:p w:rsidR="00000000" w:rsidDel="00000000" w:rsidP="00000000" w:rsidRDefault="00000000" w:rsidRPr="00000000" w14:paraId="00000045">
      <w:pPr>
        <w:pageBreakBefore w:val="0"/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Adverbs denoting how well you speak/understand/write a language:</w:t>
      </w:r>
    </w:p>
    <w:p w:rsidR="00000000" w:rsidDel="00000000" w:rsidP="00000000" w:rsidRDefault="00000000" w:rsidRPr="00000000" w14:paraId="00000047">
      <w:pPr>
        <w:pageBreakBefore w:val="0"/>
        <w:widowControl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pageBreakBefore w:val="0"/>
              <w:widowControl w:val="0"/>
              <w:ind w:left="720" w:firstLine="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plynně/plynule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pageBreakBefore w:val="0"/>
              <w:widowControl w:val="0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fluently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pageBreakBefore w:val="0"/>
              <w:widowControl w:val="0"/>
              <w:ind w:left="720" w:firstLine="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výborně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pageBreakBefore w:val="0"/>
              <w:widowControl w:val="0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excellent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pageBreakBefore w:val="0"/>
              <w:widowControl w:val="0"/>
              <w:ind w:left="720" w:firstLine="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docela dobře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pageBreakBefore w:val="0"/>
              <w:widowControl w:val="0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quite well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pageBreakBefore w:val="0"/>
              <w:widowControl w:val="0"/>
              <w:ind w:left="720" w:firstLine="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dobře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pageBreakBefore w:val="0"/>
              <w:widowControl w:val="0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well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pageBreakBefore w:val="0"/>
              <w:widowControl w:val="0"/>
              <w:ind w:left="720" w:firstLine="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trochu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pageBreakBefore w:val="0"/>
              <w:widowControl w:val="0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 little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pageBreakBefore w:val="0"/>
              <w:widowControl w:val="0"/>
              <w:ind w:left="720" w:firstLine="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málo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pageBreakBefore w:val="0"/>
              <w:widowControl w:val="0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very little</w:t>
            </w:r>
          </w:p>
        </w:tc>
      </w:tr>
    </w:tbl>
    <w:p w:rsidR="00000000" w:rsidDel="00000000" w:rsidP="00000000" w:rsidRDefault="00000000" w:rsidRPr="00000000" w14:paraId="00000054">
      <w:pPr>
        <w:pageBreakBefore w:val="0"/>
        <w:widowControl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widowControl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Style w:val="Subtitle"/>
        <w:pageBreakBefore w:val="0"/>
        <w:widowControl w:val="0"/>
        <w:rPr/>
      </w:pPr>
      <w:bookmarkStart w:colFirst="0" w:colLast="0" w:name="_cv7l9kre518x" w:id="2"/>
      <w:bookmarkEnd w:id="2"/>
      <w:r w:rsidDel="00000000" w:rsidR="00000000" w:rsidRPr="00000000">
        <w:rPr>
          <w:rtl w:val="0"/>
        </w:rPr>
        <w:t xml:space="preserve">Examples:</w:t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firstLine="0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Mluvím dobře česky.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speak Czech well.</w:t>
      </w:r>
    </w:p>
    <w:p w:rsidR="00000000" w:rsidDel="00000000" w:rsidP="00000000" w:rsidRDefault="00000000" w:rsidRPr="00000000" w14:paraId="000000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firstLine="0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firstLine="0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Kdo rozumí dobře španělsky?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Who understands Spanish well?</w:t>
      </w:r>
    </w:p>
    <w:p w:rsidR="00000000" w:rsidDel="00000000" w:rsidP="00000000" w:rsidRDefault="00000000" w:rsidRPr="00000000" w14:paraId="000000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firstLine="0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firstLine="0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Sára a Bedřich umějí málo německy.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Sára and Bedřich know little German.</w:t>
      </w:r>
    </w:p>
    <w:p w:rsidR="00000000" w:rsidDel="00000000" w:rsidP="00000000" w:rsidRDefault="00000000" w:rsidRPr="00000000" w14:paraId="000000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firstLine="0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firstLine="0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Už mluvím plynně česky.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I (can) already speak fluent Czech.</w:t>
      </w:r>
    </w:p>
    <w:p w:rsidR="00000000" w:rsidDel="00000000" w:rsidP="00000000" w:rsidRDefault="00000000" w:rsidRPr="00000000" w14:paraId="000000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rtl w:val="0"/>
        </w:rPr>
        <w:t xml:space="preserve">Note:</w:t>
      </w:r>
      <w:r w:rsidDel="00000000" w:rsidR="00000000" w:rsidRPr="00000000">
        <w:rPr>
          <w:rtl w:val="0"/>
        </w:rPr>
        <w:t xml:space="preserve"> the difference between </w:t>
      </w:r>
      <w:r w:rsidDel="00000000" w:rsidR="00000000" w:rsidRPr="00000000">
        <w:rPr>
          <w:i w:val="1"/>
          <w:rtl w:val="0"/>
        </w:rPr>
        <w:t xml:space="preserve">trochu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i w:val="1"/>
          <w:rtl w:val="0"/>
        </w:rPr>
        <w:t xml:space="preserve">málo</w:t>
      </w:r>
      <w:r w:rsidDel="00000000" w:rsidR="00000000" w:rsidRPr="00000000">
        <w:rPr>
          <w:rtl w:val="0"/>
        </w:rPr>
        <w:t xml:space="preserve"> is similar to the following in English: I speak a little (trochu) Czech </w:t>
      </w:r>
      <w:r w:rsidDel="00000000" w:rsidR="00000000" w:rsidRPr="00000000">
        <w:rPr>
          <w:b w:val="1"/>
          <w:rtl w:val="0"/>
        </w:rPr>
        <w:t xml:space="preserve">vs.</w:t>
      </w:r>
      <w:r w:rsidDel="00000000" w:rsidR="00000000" w:rsidRPr="00000000">
        <w:rPr>
          <w:rtl w:val="0"/>
        </w:rPr>
        <w:t xml:space="preserve"> I speak little (málo) Czech. In the case of </w:t>
      </w:r>
      <w:r w:rsidDel="00000000" w:rsidR="00000000" w:rsidRPr="00000000">
        <w:rPr>
          <w:i w:val="1"/>
          <w:rtl w:val="0"/>
        </w:rPr>
        <w:t xml:space="preserve">trochu</w:t>
      </w:r>
      <w:r w:rsidDel="00000000" w:rsidR="00000000" w:rsidRPr="00000000">
        <w:rPr>
          <w:rtl w:val="0"/>
        </w:rPr>
        <w:t xml:space="preserve">, you are focusing on the fact that you do know some Czech, on the other hand with </w:t>
      </w:r>
      <w:r w:rsidDel="00000000" w:rsidR="00000000" w:rsidRPr="00000000">
        <w:rPr>
          <w:i w:val="1"/>
          <w:rtl w:val="0"/>
        </w:rPr>
        <w:t xml:space="preserve">málo</w:t>
      </w:r>
      <w:r w:rsidDel="00000000" w:rsidR="00000000" w:rsidRPr="00000000">
        <w:rPr>
          <w:rtl w:val="0"/>
        </w:rPr>
        <w:t xml:space="preserve"> you are saying that you don’t know much Czech.</w:t>
      </w:r>
    </w:p>
    <w:p w:rsidR="00000000" w:rsidDel="00000000" w:rsidP="00000000" w:rsidRDefault="00000000" w:rsidRPr="00000000" w14:paraId="000000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Style w:val="Subtitle"/>
        <w:pageBreakBefore w:val="0"/>
        <w:rPr/>
      </w:pPr>
      <w:bookmarkStart w:colFirst="0" w:colLast="0" w:name="_di3m9qu33cw5" w:id="3"/>
      <w:bookmarkEnd w:id="3"/>
      <w:r w:rsidDel="00000000" w:rsidR="00000000" w:rsidRPr="00000000">
        <w:rPr>
          <w:rtl w:val="0"/>
        </w:rPr>
        <w:t xml:space="preserve">umět + infinitive</w:t>
      </w:r>
    </w:p>
    <w:p w:rsidR="00000000" w:rsidDel="00000000" w:rsidP="00000000" w:rsidRDefault="00000000" w:rsidRPr="00000000" w14:paraId="000000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You can use the verb </w:t>
      </w:r>
      <w:r w:rsidDel="00000000" w:rsidR="00000000" w:rsidRPr="00000000">
        <w:rPr>
          <w:i w:val="1"/>
          <w:sz w:val="24"/>
          <w:szCs w:val="24"/>
          <w:rtl w:val="0"/>
        </w:rPr>
        <w:t xml:space="preserve">umět </w:t>
      </w:r>
      <w:r w:rsidDel="00000000" w:rsidR="00000000" w:rsidRPr="00000000">
        <w:rPr>
          <w:sz w:val="24"/>
          <w:szCs w:val="24"/>
          <w:rtl w:val="0"/>
        </w:rPr>
        <w:t xml:space="preserve">+ the infinitive of another verb to talk about things you know how to do. In this sense, it often has the meaning of </w:t>
      </w:r>
      <w:r w:rsidDel="00000000" w:rsidR="00000000" w:rsidRPr="00000000">
        <w:rPr>
          <w:i w:val="1"/>
          <w:sz w:val="24"/>
          <w:szCs w:val="24"/>
          <w:rtl w:val="0"/>
        </w:rPr>
        <w:t xml:space="preserve">can</w:t>
      </w:r>
      <w:r w:rsidDel="00000000" w:rsidR="00000000" w:rsidRPr="00000000">
        <w:rPr>
          <w:sz w:val="24"/>
          <w:szCs w:val="24"/>
          <w:rtl w:val="0"/>
        </w:rPr>
        <w:t xml:space="preserve"> in English. See the following examples: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firstLine="0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Umím psát česky.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know how</w:t>
      </w:r>
      <w:r w:rsidDel="00000000" w:rsidR="00000000" w:rsidRPr="00000000">
        <w:rPr>
          <w:sz w:val="24"/>
          <w:szCs w:val="24"/>
          <w:rtl w:val="0"/>
        </w:rPr>
        <w:t xml:space="preserve"> to</w:t>
      </w:r>
      <w:r w:rsidDel="00000000" w:rsidR="00000000" w:rsidRPr="00000000">
        <w:rPr>
          <w:sz w:val="24"/>
          <w:szCs w:val="24"/>
          <w:rtl w:val="0"/>
        </w:rPr>
        <w:t xml:space="preserve">/can write in Czech.</w:t>
      </w:r>
    </w:p>
    <w:p w:rsidR="00000000" w:rsidDel="00000000" w:rsidP="00000000" w:rsidRDefault="00000000" w:rsidRPr="00000000" w14:paraId="000000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firstLine="0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Neumíme tančit.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 don’t know how to dance / We can’t dance.</w:t>
      </w:r>
    </w:p>
    <w:p w:rsidR="00000000" w:rsidDel="00000000" w:rsidP="00000000" w:rsidRDefault="00000000" w:rsidRPr="00000000" w14:paraId="000000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firstLine="0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Umíš lyžovat?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 you know how to ski?</w:t>
      </w:r>
    </w:p>
    <w:p w:rsidR="00000000" w:rsidDel="00000000" w:rsidP="00000000" w:rsidRDefault="00000000" w:rsidRPr="00000000" w14:paraId="000000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Images used in this document come from </w:t>
      </w: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these sources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pixabay.com/en/hello-bonjour-hi-greeting-foreign-1502369/" TargetMode="External"/><Relationship Id="rId7" Type="http://schemas.openxmlformats.org/officeDocument/2006/relationships/image" Target="media/image1.png"/><Relationship Id="rId8" Type="http://schemas.openxmlformats.org/officeDocument/2006/relationships/hyperlink" Target="https://docs.google.com/document/d/1ob3WPBc2PIWuMMfyjF6IDcxuBo1iyfqvtcL5dd9D0rE/edit#heading=h.p2o46jh0rn0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