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amv8nonog5hf" w:id="0"/>
      <w:bookmarkEnd w:id="0"/>
      <w:r w:rsidDel="00000000" w:rsidR="00000000" w:rsidRPr="00000000">
        <w:rPr>
          <w:rtl w:val="0"/>
        </w:rPr>
        <w:t xml:space="preserve">1.5 - Pronunciation - Voiced and Voiceless Consonants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03">
      <w:pPr>
        <w:pageBreakBefore w:val="0"/>
        <w:rPr/>
      </w:pPr>
      <w:hyperlink r:id="rId6">
        <w:r w:rsidDel="00000000" w:rsidR="00000000" w:rsidRPr="00000000">
          <w:rPr>
            <w:color w:val="1155cc"/>
            <w:u w:val="single"/>
          </w:rPr>
          <w:drawing>
            <wp:inline distB="114300" distT="114300" distL="114300" distR="114300">
              <wp:extent cx="5657850" cy="2800350"/>
              <wp:effectExtent b="0" l="0" r="0" t="0"/>
              <wp:docPr id="5" name="image1.png"/>
              <a:graphic>
                <a:graphicData uri="http://schemas.openxmlformats.org/drawingml/2006/picture">
                  <pic:pic>
                    <pic:nvPicPr>
                      <pic:cNvPr id="0" name="image1.png"/>
                      <pic:cNvPicPr preferRelativeResize="0"/>
                    </pic:nvPicPr>
                    <pic:blipFill>
                      <a:blip r:embed="rId7"/>
                      <a:srcRect b="3194" l="3685" r="1191" t="2875"/>
                      <a:stretch>
                        <a:fillRect/>
                      </a:stretch>
                    </pic:blipFill>
                    <pic:spPr>
                      <a:xfrm>
                        <a:off x="0" y="0"/>
                        <a:ext cx="5657850" cy="28003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this lesson we’re going to be talking about something a little pedantic, but it may help you in understanding why some of the words you’ve been hearing pronounced are pronounced the way they are. Let’s start with a couple examples: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hyperlink r:id="rId8">
              <w:r w:rsidDel="00000000" w:rsidR="00000000" w:rsidRPr="00000000">
                <w:rPr>
                  <w:color w:val="1155cc"/>
                  <w:u w:val="single"/>
                </w:rPr>
                <w:drawing>
                  <wp:inline distB="114300" distT="114300" distL="114300" distR="114300">
                    <wp:extent cx="2838450" cy="18923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1"/>
                <w:iCs w:val="1"/>
                <w:rtl w:val="0"/>
              </w:rPr>
              <w:t xml:space="preserve">led </w:t>
            </w:r>
            <w:r w:rsidDel="00000000" w:rsidR="00000000" w:rsidRPr="00000000">
              <w:rPr>
                <w:rtl w:val="0"/>
              </w:rPr>
              <w:t xml:space="preserve">- ‘ice’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hyperlink r:id="rId1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hyperlink r:id="rId11">
              <w:r w:rsidDel="00000000" w:rsidR="00000000" w:rsidRPr="00000000">
                <w:rPr>
                  <w:color w:val="1155cc"/>
                  <w:u w:val="single"/>
                </w:rPr>
                <w:drawing>
                  <wp:inline distB="114300" distT="114300" distL="114300" distR="114300">
                    <wp:extent cx="2838450" cy="18923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1"/>
                <w:iCs w:val="1"/>
                <w:rtl w:val="0"/>
              </w:rPr>
              <w:t xml:space="preserve">muž </w:t>
            </w:r>
            <w:r w:rsidDel="00000000" w:rsidR="00000000" w:rsidRPr="00000000">
              <w:rPr>
                <w:rtl w:val="0"/>
              </w:rPr>
              <w:t xml:space="preserve">- ‘man’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hyperlink r:id="rId13">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pageBreakBefore w:val="0"/>
        <w:rPr/>
      </w:pPr>
      <w:r w:rsidDel="00000000" w:rsidR="00000000" w:rsidRPr="00000000">
        <w:rPr>
          <w:rtl w:val="0"/>
        </w:rPr>
        <w:t xml:space="preserve"> First, let’s take a look at the following chart in Czech:</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tbl>
      <w:tblPr>
        <w:tblStyle w:val="Table2"/>
        <w:tblW w:w="8265.0" w:type="dxa"/>
        <w:jc w:val="left"/>
        <w:tblInd w:w="6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132.5"/>
        <w:gridCol w:w="4132.5"/>
        <w:tblGridChange w:id="0">
          <w:tblGrid>
            <w:gridCol w:w="4132.5"/>
            <w:gridCol w:w="4132.5"/>
          </w:tblGrid>
        </w:tblGridChange>
      </w:tblGrid>
      <w:tr>
        <w:trPr>
          <w:cantSplit w:val="0"/>
          <w:tblHeader w:val="0"/>
        </w:trPr>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1">
            <w:pPr>
              <w:pageBreakBefore w:val="0"/>
              <w:jc w:val="center"/>
              <w:rPr>
                <w:b w:val="1"/>
                <w:bCs w:val="1"/>
              </w:rPr>
            </w:pPr>
            <w:r w:rsidDel="00000000" w:rsidR="00000000" w:rsidRPr="00000000">
              <w:rPr>
                <w:b w:val="1"/>
                <w:bCs w:val="1"/>
                <w:rtl w:val="0"/>
              </w:rPr>
              <w:t xml:space="preserve">voiced</w:t>
            </w:r>
          </w:p>
        </w:tc>
        <w:tc>
          <w:tcPr>
            <w:tcBorders>
              <w:top w:color="000000" w:space="0" w:sz="0" w:val="nil"/>
              <w:bottom w:color="000000" w:space="0" w:sz="8"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2">
            <w:pPr>
              <w:pageBreakBefore w:val="0"/>
              <w:jc w:val="center"/>
              <w:rPr>
                <w:b w:val="1"/>
                <w:bCs w:val="1"/>
              </w:rPr>
            </w:pPr>
            <w:r w:rsidDel="00000000" w:rsidR="00000000" w:rsidRPr="00000000">
              <w:rPr>
                <w:b w:val="1"/>
                <w:bCs w:val="1"/>
                <w:rtl w:val="0"/>
              </w:rPr>
              <w:t xml:space="preserve">voiceless</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jc w:val="center"/>
              <w:rPr/>
            </w:pPr>
            <w:r w:rsidDel="00000000" w:rsidR="00000000" w:rsidRPr="00000000">
              <w:rPr>
                <w:rtl w:val="0"/>
              </w:rPr>
              <w:t xml:space="preserve">b</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jc w:val="center"/>
              <w:rPr/>
            </w:pPr>
            <w:r w:rsidDel="00000000" w:rsidR="00000000" w:rsidRPr="00000000">
              <w:rPr>
                <w:rtl w:val="0"/>
              </w:rPr>
              <w:t xml:space="preserve">p</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jc w:val="center"/>
              <w:rPr/>
            </w:pPr>
            <w:r w:rsidDel="00000000" w:rsidR="00000000" w:rsidRPr="00000000">
              <w:rPr>
                <w:rtl w:val="0"/>
              </w:rPr>
              <w:t xml:space="preserve">v</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jc w:val="center"/>
              <w:rPr/>
            </w:pPr>
            <w:r w:rsidDel="00000000" w:rsidR="00000000" w:rsidRPr="00000000">
              <w:rPr>
                <w:rtl w:val="0"/>
              </w:rPr>
              <w:t xml:space="preserve">f</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jc w:val="center"/>
              <w:rPr/>
            </w:pPr>
            <w:r w:rsidDel="00000000" w:rsidR="00000000" w:rsidRPr="00000000">
              <w:rPr>
                <w:rtl w:val="0"/>
              </w:rPr>
              <w:t xml:space="preserve">d</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jc w:val="center"/>
              <w:rPr/>
            </w:pPr>
            <w:r w:rsidDel="00000000" w:rsidR="00000000" w:rsidRPr="00000000">
              <w:rPr>
                <w:rtl w:val="0"/>
              </w:rPr>
              <w:t xml:space="preserve">t</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jc w:val="center"/>
              <w:rPr/>
            </w:pPr>
            <w:r w:rsidDel="00000000" w:rsidR="00000000" w:rsidRPr="00000000">
              <w:rPr>
                <w:rtl w:val="0"/>
              </w:rPr>
              <w:t xml:space="preserve">z</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jc w:val="center"/>
              <w:rPr/>
            </w:pPr>
            <w:r w:rsidDel="00000000" w:rsidR="00000000" w:rsidRPr="00000000">
              <w:rPr>
                <w:rtl w:val="0"/>
              </w:rPr>
              <w:t xml:space="preserve">s</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jc w:val="center"/>
              <w:rPr/>
            </w:pPr>
            <w:r w:rsidDel="00000000" w:rsidR="00000000" w:rsidRPr="00000000">
              <w:rPr>
                <w:rtl w:val="0"/>
              </w:rPr>
              <w:t xml:space="preserve">ď</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jc w:val="center"/>
              <w:rPr/>
            </w:pPr>
            <w:r w:rsidDel="00000000" w:rsidR="00000000" w:rsidRPr="00000000">
              <w:rPr>
                <w:rtl w:val="0"/>
              </w:rPr>
              <w:t xml:space="preserve">ť</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jc w:val="center"/>
              <w:rPr/>
            </w:pPr>
            <w:r w:rsidDel="00000000" w:rsidR="00000000" w:rsidRPr="00000000">
              <w:rPr>
                <w:rtl w:val="0"/>
              </w:rPr>
              <w:t xml:space="preserve">dž</w:t>
            </w:r>
          </w:p>
        </w:tc>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pPr>
            <w:r w:rsidDel="00000000" w:rsidR="00000000" w:rsidRPr="00000000">
              <w:rPr>
                <w:rtl w:val="0"/>
              </w:rPr>
              <w:t xml:space="preserve">č</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jc w:val="center"/>
              <w:rPr/>
            </w:pPr>
            <w:r w:rsidDel="00000000" w:rsidR="00000000" w:rsidRPr="00000000">
              <w:rPr>
                <w:rtl w:val="0"/>
              </w:rPr>
              <w:t xml:space="preserve">ž</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jc w:val="center"/>
              <w:rPr/>
            </w:pPr>
            <w:r w:rsidDel="00000000" w:rsidR="00000000" w:rsidRPr="00000000">
              <w:rPr>
                <w:rtl w:val="0"/>
              </w:rPr>
              <w:t xml:space="preserve">š</w:t>
            </w:r>
          </w:p>
        </w:tc>
      </w:tr>
      <w:tr>
        <w:trPr>
          <w:cantSplit w:val="0"/>
          <w:tblHeader w:val="0"/>
        </w:trPr>
        <w:tc>
          <w:tcPr>
            <w:tcBorders>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jc w:val="center"/>
              <w:rPr/>
            </w:pPr>
            <w:r w:rsidDel="00000000" w:rsidR="00000000" w:rsidRPr="00000000">
              <w:rPr>
                <w:rtl w:val="0"/>
              </w:rPr>
              <w:t xml:space="preserve">g</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jc w:val="center"/>
              <w:rPr/>
            </w:pPr>
            <w:r w:rsidDel="00000000" w:rsidR="00000000" w:rsidRPr="00000000">
              <w:rPr>
                <w:rtl w:val="0"/>
              </w:rPr>
              <w:t xml:space="preserve">k</w:t>
            </w:r>
          </w:p>
        </w:tc>
      </w:tr>
      <w:tr>
        <w:trPr>
          <w:cantSplit w:val="0"/>
          <w:tblHeader w:val="0"/>
        </w:trPr>
        <w:tc>
          <w:tcPr>
            <w:tcBorders>
              <w:left w:color="000000" w:space="0" w:sz="0" w:val="nil"/>
              <w:bottom w:color="000000" w:space="0" w:sz="0" w:val="nil"/>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jc w:val="center"/>
              <w:rPr/>
            </w:pPr>
            <w:r w:rsidDel="00000000" w:rsidR="00000000" w:rsidRPr="00000000">
              <w:rPr>
                <w:rtl w:val="0"/>
              </w:rPr>
              <w:t xml:space="preserve">h</w:t>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jc w:val="center"/>
              <w:rPr/>
            </w:pPr>
            <w:r w:rsidDel="00000000" w:rsidR="00000000" w:rsidRPr="00000000">
              <w:rPr>
                <w:rtl w:val="0"/>
              </w:rPr>
              <w:t xml:space="preserve">ch</w:t>
            </w:r>
          </w:p>
        </w:tc>
      </w:tr>
    </w:tbl>
    <w:p w:rsidR="00000000" w:rsidDel="00000000" w:rsidP="00000000" w:rsidRDefault="00000000" w:rsidRPr="00000000" w14:paraId="00000025">
      <w:pPr>
        <w:pageBreakBefore w:val="0"/>
        <w:rPr/>
      </w:pPr>
      <w:r w:rsidDel="00000000" w:rsidR="00000000" w:rsidRPr="00000000">
        <w:rPr>
          <w:rtl w:val="0"/>
        </w:rPr>
        <w:t xml:space="preserve"> </w:t>
      </w:r>
    </w:p>
    <w:p w:rsidR="00000000" w:rsidDel="00000000" w:rsidP="00000000" w:rsidRDefault="00000000" w:rsidRPr="00000000" w14:paraId="00000026">
      <w:pPr>
        <w:pageBreakBefore w:val="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5565"/>
        <w:tblGridChange w:id="0">
          <w:tblGrid>
            <w:gridCol w:w="3795"/>
            <w:gridCol w:w="55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rPr/>
            </w:pPr>
            <w:r w:rsidDel="00000000" w:rsidR="00000000" w:rsidRPr="00000000">
              <w:rPr>
                <w:rtl w:val="0"/>
              </w:rPr>
              <w:t xml:space="preserve">Consonants on the left are voiced and consonants on the right are voiceless. What does this mean? The easiest way to hear (and feel) the difference is by putting your fingers on your neck where your vocal cords are (see image on right). </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When you pronounced a voice consonant, you will feel your vocal cords vibrate; when you pronounce voiceless one, they will not. It is easiest to hear and feel the difference when you contrast </w:t>
            </w:r>
            <w:r w:rsidDel="00000000" w:rsidR="00000000" w:rsidRPr="00000000">
              <w:rPr>
                <w:i w:val="1"/>
                <w:iCs w:val="1"/>
                <w:rtl w:val="0"/>
              </w:rPr>
              <w:t xml:space="preserve">s</w:t>
            </w:r>
            <w:r w:rsidDel="00000000" w:rsidR="00000000" w:rsidRPr="00000000">
              <w:rPr>
                <w:rtl w:val="0"/>
              </w:rPr>
              <w:t xml:space="preserve"> with </w:t>
            </w:r>
            <w:r w:rsidDel="00000000" w:rsidR="00000000" w:rsidRPr="00000000">
              <w:rPr>
                <w:i w:val="1"/>
                <w:iCs w:val="1"/>
                <w:rtl w:val="0"/>
              </w:rPr>
              <w:t xml:space="preserve">z</w:t>
            </w:r>
            <w:r w:rsidDel="00000000" w:rsidR="00000000" w:rsidRPr="00000000">
              <w:rPr>
                <w:rtl w:val="0"/>
              </w:rPr>
              <w:t xml:space="preserve">; or </w:t>
            </w:r>
            <w:r w:rsidDel="00000000" w:rsidR="00000000" w:rsidRPr="00000000">
              <w:rPr>
                <w:i w:val="1"/>
                <w:iCs w:val="1"/>
                <w:rtl w:val="0"/>
              </w:rPr>
              <w:t xml:space="preserve">f</w:t>
            </w:r>
            <w:r w:rsidDel="00000000" w:rsidR="00000000" w:rsidRPr="00000000">
              <w:rPr>
                <w:rtl w:val="0"/>
              </w:rPr>
              <w:t xml:space="preserve"> with </w:t>
            </w:r>
            <w:r w:rsidDel="00000000" w:rsidR="00000000" w:rsidRPr="00000000">
              <w:rPr>
                <w:i w:val="1"/>
                <w:iCs w:val="1"/>
                <w:rtl w:val="0"/>
              </w:rPr>
              <w:t xml:space="preserve">v</w:t>
            </w:r>
            <w:r w:rsidDel="00000000" w:rsidR="00000000" w:rsidRPr="00000000">
              <w:rPr>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rPr/>
            </w:pPr>
            <w:hyperlink r:id="rId14">
              <w:r w:rsidDel="00000000" w:rsidR="00000000" w:rsidRPr="00000000">
                <w:rPr>
                  <w:color w:val="1155cc"/>
                  <w:u w:val="single"/>
                </w:rPr>
                <w:drawing>
                  <wp:inline distB="114300" distT="114300" distL="114300" distR="114300">
                    <wp:extent cx="3128963" cy="3716191"/>
                    <wp:effectExtent b="0" l="0" r="0" t="0"/>
                    <wp:docPr id="6"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128963" cy="3716191"/>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1. </w:t>
      </w:r>
      <w:r w:rsidDel="00000000" w:rsidR="00000000" w:rsidRPr="00000000">
        <w:rPr>
          <w:b w:val="1"/>
          <w:bCs w:val="1"/>
          <w:sz w:val="24"/>
          <w:szCs w:val="24"/>
          <w:rtl w:val="0"/>
        </w:rPr>
        <w:t xml:space="preserve">End of the word</w:t>
      </w:r>
      <w:r w:rsidDel="00000000" w:rsidR="00000000" w:rsidRPr="00000000">
        <w:rPr>
          <w:sz w:val="24"/>
          <w:szCs w:val="24"/>
          <w:rtl w:val="0"/>
        </w:rPr>
        <w:t xml:space="preserve"> – voiced consonants are pronounced as their voiceless counterpart at the end of a word (listen to examples </w:t>
      </w:r>
      <w:r w:rsidDel="00000000" w:rsidR="00000000" w:rsidRPr="00000000">
        <w:rPr>
          <w:i w:val="1"/>
          <w:iCs w:val="1"/>
          <w:sz w:val="24"/>
          <w:szCs w:val="24"/>
          <w:rtl w:val="0"/>
        </w:rPr>
        <w:t xml:space="preserve">led</w:t>
      </w:r>
      <w:r w:rsidDel="00000000" w:rsidR="00000000" w:rsidRPr="00000000">
        <w:rPr>
          <w:sz w:val="24"/>
          <w:szCs w:val="24"/>
          <w:rtl w:val="0"/>
        </w:rPr>
        <w:t xml:space="preserve"> </w:t>
      </w:r>
      <w:r w:rsidDel="00000000" w:rsidR="00000000" w:rsidRPr="00000000">
        <w:rPr>
          <w:rtl w:val="0"/>
        </w:rPr>
        <w:t xml:space="preserve">and </w:t>
      </w:r>
      <w:r w:rsidDel="00000000" w:rsidR="00000000" w:rsidRPr="00000000">
        <w:rPr>
          <w:i w:val="1"/>
          <w:iCs w:val="1"/>
          <w:rtl w:val="0"/>
        </w:rPr>
        <w:t xml:space="preserve">muž</w:t>
      </w:r>
      <w:r w:rsidDel="00000000" w:rsidR="00000000" w:rsidRPr="00000000">
        <w:rPr>
          <w:rtl w:val="0"/>
        </w:rPr>
        <w:t xml:space="preserve"> above)</w:t>
      </w:r>
      <w:r w:rsidDel="00000000" w:rsidR="00000000" w:rsidRPr="00000000">
        <w:rPr>
          <w:sz w:val="24"/>
          <w:szCs w:val="24"/>
          <w:rtl w:val="0"/>
        </w:rPr>
        <w:t xml:space="preserve">, e.g. –</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i w:val="1"/>
          <w:iCs w:val="1"/>
          <w:sz w:val="24"/>
          <w:szCs w:val="24"/>
          <w:rtl w:val="0"/>
        </w:rPr>
        <w:t xml:space="preserve">led </w:t>
      </w:r>
      <w:r w:rsidDel="00000000" w:rsidR="00000000" w:rsidRPr="00000000">
        <w:rPr>
          <w:rFonts w:ascii="Arial Unicode MS" w:cs="Arial Unicode MS" w:eastAsia="Arial Unicode MS" w:hAnsi="Arial Unicode MS"/>
          <w:sz w:val="24"/>
          <w:szCs w:val="24"/>
          <w:rtl w:val="0"/>
        </w:rPr>
        <w:t xml:space="preserve">→ [let]                            </w:t>
        <w:tab/>
      </w:r>
      <w:r w:rsidDel="00000000" w:rsidR="00000000" w:rsidRPr="00000000">
        <w:rPr>
          <w:i w:val="1"/>
          <w:iCs w:val="1"/>
          <w:sz w:val="24"/>
          <w:szCs w:val="24"/>
          <w:rtl w:val="0"/>
        </w:rPr>
        <w:t xml:space="preserve">bav </w:t>
      </w:r>
      <w:r w:rsidDel="00000000" w:rsidR="00000000" w:rsidRPr="00000000">
        <w:rPr>
          <w:rFonts w:ascii="Arial Unicode MS" w:cs="Arial Unicode MS" w:eastAsia="Arial Unicode MS" w:hAnsi="Arial Unicode MS"/>
          <w:sz w:val="24"/>
          <w:szCs w:val="24"/>
          <w:rtl w:val="0"/>
        </w:rPr>
        <w:t xml:space="preserve">→ [baf]</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i w:val="1"/>
          <w:iCs w:val="1"/>
          <w:sz w:val="24"/>
          <w:szCs w:val="24"/>
          <w:rtl w:val="0"/>
        </w:rPr>
        <w:t xml:space="preserve">hrob </w:t>
      </w:r>
      <w:r w:rsidDel="00000000" w:rsidR="00000000" w:rsidRPr="00000000">
        <w:rPr>
          <w:rFonts w:ascii="Arial Unicode MS" w:cs="Arial Unicode MS" w:eastAsia="Arial Unicode MS" w:hAnsi="Arial Unicode MS"/>
          <w:sz w:val="24"/>
          <w:szCs w:val="24"/>
          <w:rtl w:val="0"/>
        </w:rPr>
        <w:t xml:space="preserve">→ [hrop]                      </w:t>
        <w:tab/>
      </w:r>
      <w:r w:rsidDel="00000000" w:rsidR="00000000" w:rsidRPr="00000000">
        <w:rPr>
          <w:i w:val="1"/>
          <w:iCs w:val="1"/>
          <w:sz w:val="24"/>
          <w:szCs w:val="24"/>
          <w:rtl w:val="0"/>
        </w:rPr>
        <w:t xml:space="preserve">hrad </w:t>
      </w:r>
      <w:r w:rsidDel="00000000" w:rsidR="00000000" w:rsidRPr="00000000">
        <w:rPr>
          <w:rFonts w:ascii="Arial Unicode MS" w:cs="Arial Unicode MS" w:eastAsia="Arial Unicode MS" w:hAnsi="Arial Unicode MS"/>
          <w:sz w:val="24"/>
          <w:szCs w:val="24"/>
          <w:rtl w:val="0"/>
        </w:rPr>
        <w:t xml:space="preserve">→ [hrat]</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left="720" w:firstLine="0"/>
        <w:rPr>
          <w:sz w:val="24"/>
          <w:szCs w:val="24"/>
        </w:rPr>
      </w:pPr>
      <w:r w:rsidDel="00000000" w:rsidR="00000000" w:rsidRPr="00000000">
        <w:rPr>
          <w:i w:val="1"/>
          <w:iCs w:val="1"/>
          <w:sz w:val="24"/>
          <w:szCs w:val="24"/>
          <w:rtl w:val="0"/>
        </w:rPr>
        <w:t xml:space="preserve">batoh </w:t>
      </w:r>
      <w:r w:rsidDel="00000000" w:rsidR="00000000" w:rsidRPr="00000000">
        <w:rPr>
          <w:rFonts w:ascii="Arial Unicode MS" w:cs="Arial Unicode MS" w:eastAsia="Arial Unicode MS" w:hAnsi="Arial Unicode MS"/>
          <w:sz w:val="24"/>
          <w:szCs w:val="24"/>
          <w:rtl w:val="0"/>
        </w:rPr>
        <w:t xml:space="preserve">→ [batoch]                 </w:t>
        <w:tab/>
      </w:r>
      <w:r w:rsidDel="00000000" w:rsidR="00000000" w:rsidRPr="00000000">
        <w:rPr>
          <w:i w:val="1"/>
          <w:iCs w:val="1"/>
          <w:sz w:val="24"/>
          <w:szCs w:val="24"/>
          <w:rtl w:val="0"/>
        </w:rPr>
        <w:t xml:space="preserve">muž </w:t>
      </w:r>
      <w:r w:rsidDel="00000000" w:rsidR="00000000" w:rsidRPr="00000000">
        <w:rPr>
          <w:rFonts w:ascii="Arial Unicode MS" w:cs="Arial Unicode MS" w:eastAsia="Arial Unicode MS" w:hAnsi="Arial Unicode MS"/>
          <w:sz w:val="24"/>
          <w:szCs w:val="24"/>
          <w:rtl w:val="0"/>
        </w:rPr>
        <w:t xml:space="preserve">→ [mu</w:t>
      </w:r>
      <w:r w:rsidDel="00000000" w:rsidR="00000000" w:rsidRPr="00000000">
        <w:rPr>
          <w:rtl w:val="0"/>
        </w:rPr>
        <w:t xml:space="preserve">š</w:t>
      </w:r>
      <w:r w:rsidDel="00000000" w:rsidR="00000000" w:rsidRPr="00000000">
        <w:rPr>
          <w:sz w:val="24"/>
          <w:szCs w:val="24"/>
          <w:rtl w:val="0"/>
        </w:rPr>
        <w:t xml:space="preserve">]</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Your strategy for figuring out how to pronounce the final letter of a word should be as follows: a) figure out whether the last consonant is one of the voiced or voiceless consonants in the chart above; b) if it is voiceless, pronounce it exactly as it is written; c) if it is voiced, pronounce it as if it were written with the corresponding voiceless consonant from the chart above.</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2. </w:t>
      </w:r>
      <w:r w:rsidDel="00000000" w:rsidR="00000000" w:rsidRPr="00000000">
        <w:rPr>
          <w:b w:val="1"/>
          <w:bCs w:val="1"/>
          <w:sz w:val="24"/>
          <w:szCs w:val="24"/>
          <w:rtl w:val="0"/>
        </w:rPr>
        <w:t xml:space="preserve">Consonant Clusters</w:t>
      </w:r>
      <w:r w:rsidDel="00000000" w:rsidR="00000000" w:rsidRPr="00000000">
        <w:rPr>
          <w:sz w:val="24"/>
          <w:szCs w:val="24"/>
          <w:rtl w:val="0"/>
        </w:rPr>
        <w:t xml:space="preserve"> – </w:t>
      </w:r>
      <w:r w:rsidDel="00000000" w:rsidR="00000000" w:rsidRPr="00000000">
        <w:rPr>
          <w:rtl w:val="0"/>
        </w:rPr>
        <w:t xml:space="preserve">Pronunciation of consonant clusters is also determined by voicing rules. Listen to the following:</w:t>
      </w:r>
      <w:r w:rsidDel="00000000" w:rsidR="00000000" w:rsidRPr="00000000">
        <w:rPr>
          <w:sz w:val="24"/>
          <w:szCs w:val="24"/>
          <w:rtl w:val="0"/>
        </w:rPr>
        <w:t xml:space="preserve"> </w:t>
      </w:r>
    </w:p>
    <w:p w:rsidR="00000000" w:rsidDel="00000000" w:rsidP="00000000" w:rsidRDefault="00000000" w:rsidRPr="00000000" w14:paraId="00000037">
      <w:pPr>
        <w:pageBreakBefore w:val="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rPr/>
            </w:pPr>
            <w:hyperlink r:id="rId16">
              <w:r w:rsidDel="00000000" w:rsidR="00000000" w:rsidRPr="00000000">
                <w:rPr>
                  <w:color w:val="1155cc"/>
                  <w:u w:val="single"/>
                </w:rPr>
                <w:drawing>
                  <wp:inline distB="114300" distT="114300" distL="114300" distR="114300">
                    <wp:extent cx="2838450" cy="1892300"/>
                    <wp:effectExtent b="0" l="0" r="0" t="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9">
            <w:pPr>
              <w:pageBreakBefore w:val="0"/>
              <w:widowControl w:val="0"/>
              <w:spacing w:line="240" w:lineRule="auto"/>
              <w:rPr/>
            </w:pPr>
            <w:r w:rsidDel="00000000" w:rsidR="00000000" w:rsidRPr="00000000">
              <w:rPr>
                <w:i w:val="1"/>
                <w:iCs w:val="1"/>
                <w:rtl w:val="0"/>
              </w:rPr>
              <w:t xml:space="preserve">četba </w:t>
            </w:r>
            <w:r w:rsidDel="00000000" w:rsidR="00000000" w:rsidRPr="00000000">
              <w:rPr>
                <w:rtl w:val="0"/>
              </w:rPr>
              <w:t xml:space="preserve">- ‘reading’</w:t>
            </w:r>
          </w:p>
          <w:p w:rsidR="00000000" w:rsidDel="00000000" w:rsidP="00000000" w:rsidRDefault="00000000" w:rsidRPr="00000000" w14:paraId="0000003A">
            <w:pPr>
              <w:pageBreakBefore w:val="0"/>
              <w:widowControl w:val="0"/>
              <w:spacing w:line="240" w:lineRule="auto"/>
              <w:rPr/>
            </w:pPr>
            <w:hyperlink r:id="rId18">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pPr>
            <w:hyperlink r:id="rId19">
              <w:r w:rsidDel="00000000" w:rsidR="00000000" w:rsidRPr="00000000">
                <w:rPr>
                  <w:color w:val="1155cc"/>
                  <w:u w:val="single"/>
                </w:rPr>
                <w:drawing>
                  <wp:inline distB="114300" distT="114300" distL="114300" distR="114300">
                    <wp:extent cx="2838450" cy="1895475"/>
                    <wp:effectExtent b="0" l="0" r="0" t="0"/>
                    <wp:docPr id="2" name="image2.png"/>
                    <a:graphic>
                      <a:graphicData uri="http://schemas.openxmlformats.org/drawingml/2006/picture">
                        <pic:pic>
                          <pic:nvPicPr>
                            <pic:cNvPr id="0" name="image2.png"/>
                            <pic:cNvPicPr preferRelativeResize="0"/>
                          </pic:nvPicPr>
                          <pic:blipFill>
                            <a:blip r:embed="rId20"/>
                            <a:srcRect b="36407" l="0" r="0" t="15291"/>
                            <a:stretch>
                              <a:fillRect/>
                            </a:stretch>
                          </pic:blipFill>
                          <pic:spPr>
                            <a:xfrm>
                              <a:off x="0" y="0"/>
                              <a:ext cx="2838450" cy="18954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C">
            <w:pPr>
              <w:pageBreakBefore w:val="0"/>
              <w:widowControl w:val="0"/>
              <w:spacing w:line="240" w:lineRule="auto"/>
              <w:rPr/>
            </w:pPr>
            <w:r w:rsidDel="00000000" w:rsidR="00000000" w:rsidRPr="00000000">
              <w:rPr>
                <w:i w:val="1"/>
                <w:iCs w:val="1"/>
                <w:rtl w:val="0"/>
              </w:rPr>
              <w:t xml:space="preserve">vtip </w:t>
            </w:r>
            <w:r w:rsidDel="00000000" w:rsidR="00000000" w:rsidRPr="00000000">
              <w:rPr>
                <w:rtl w:val="0"/>
              </w:rPr>
              <w:t xml:space="preserve">- ‘joke’</w:t>
            </w:r>
          </w:p>
          <w:p w:rsidR="00000000" w:rsidDel="00000000" w:rsidP="00000000" w:rsidRDefault="00000000" w:rsidRPr="00000000" w14:paraId="0000003D">
            <w:pPr>
              <w:pageBreakBefore w:val="0"/>
              <w:widowControl w:val="0"/>
              <w:spacing w:line="240" w:lineRule="auto"/>
              <w:rPr/>
            </w:pPr>
            <w:hyperlink r:id="rId21">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In each of the examples above, one of the consonants in a cluster was not pronounced exactly as it is written. Instead, it was pronounced like its corresponding voiced or voiceless partner to match the final consonant in a cluster.</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24"/>
          <w:szCs w:val="24"/>
          <w:rtl w:val="0"/>
        </w:rPr>
        <w:t xml:space="preserve">Your strategy should be as follows:</w:t>
      </w:r>
      <w:r w:rsidDel="00000000" w:rsidR="00000000" w:rsidRPr="00000000">
        <w:rPr>
          <w:rtl w:val="0"/>
        </w:rPr>
      </w:r>
    </w:p>
    <w:p w:rsidR="00000000" w:rsidDel="00000000" w:rsidP="00000000" w:rsidRDefault="00000000" w:rsidRPr="00000000" w14:paraId="00000043">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4"/>
          <w:szCs w:val="24"/>
          <w:u w:val="none"/>
        </w:rPr>
      </w:pPr>
      <w:r w:rsidDel="00000000" w:rsidR="00000000" w:rsidRPr="00000000">
        <w:rPr>
          <w:sz w:val="24"/>
          <w:szCs w:val="24"/>
          <w:rtl w:val="0"/>
        </w:rPr>
        <w:t xml:space="preserve">identify the consonant cluster</w:t>
      </w:r>
      <w:r w:rsidDel="00000000" w:rsidR="00000000" w:rsidRPr="00000000">
        <w:rPr>
          <w:rtl w:val="0"/>
        </w:rPr>
      </w:r>
    </w:p>
    <w:p w:rsidR="00000000" w:rsidDel="00000000" w:rsidP="00000000" w:rsidRDefault="00000000" w:rsidRPr="00000000" w14:paraId="00000044">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4"/>
          <w:szCs w:val="24"/>
          <w:u w:val="none"/>
        </w:rPr>
      </w:pPr>
      <w:r w:rsidDel="00000000" w:rsidR="00000000" w:rsidRPr="00000000">
        <w:rPr>
          <w:sz w:val="24"/>
          <w:szCs w:val="24"/>
          <w:rtl w:val="0"/>
        </w:rPr>
        <w:t xml:space="preserve">figure out whether the consonants in the cluster are voiced or voiceless</w:t>
      </w:r>
      <w:r w:rsidDel="00000000" w:rsidR="00000000" w:rsidRPr="00000000">
        <w:rPr>
          <w:rtl w:val="0"/>
        </w:rPr>
      </w:r>
    </w:p>
    <w:p w:rsidR="00000000" w:rsidDel="00000000" w:rsidP="00000000" w:rsidRDefault="00000000" w:rsidRPr="00000000" w14:paraId="00000045">
      <w:pPr>
        <w:pageBreakBefore w:val="0"/>
        <w:numPr>
          <w:ilvl w:val="0"/>
          <w:numId w:val="1"/>
        </w:numPr>
        <w:pBdr>
          <w:top w:space="0" w:sz="0" w:val="nil"/>
          <w:left w:space="0" w:sz="0" w:val="nil"/>
          <w:bottom w:space="0" w:sz="0" w:val="nil"/>
          <w:right w:space="0" w:sz="0" w:val="nil"/>
          <w:between w:space="0" w:sz="0" w:val="nil"/>
        </w:pBdr>
        <w:shd w:fill="auto" w:val="clear"/>
        <w:ind w:left="720" w:hanging="360"/>
        <w:rPr>
          <w:sz w:val="24"/>
          <w:szCs w:val="24"/>
          <w:u w:val="none"/>
        </w:rPr>
      </w:pPr>
      <w:r w:rsidDel="00000000" w:rsidR="00000000" w:rsidRPr="00000000">
        <w:rPr>
          <w:sz w:val="24"/>
          <w:szCs w:val="24"/>
          <w:rtl w:val="0"/>
        </w:rPr>
        <w:t xml:space="preserve">if some are voiced and others are voiceless, then the final consonant of the cluster determines how the others are to be pronounced</w:t>
      </w:r>
      <w:r w:rsidDel="00000000" w:rsidR="00000000" w:rsidRPr="00000000">
        <w:rPr>
          <w:rtl w:val="0"/>
        </w:rPr>
        <w:t xml:space="preserve">:</w:t>
      </w:r>
    </w:p>
    <w:p w:rsidR="00000000" w:rsidDel="00000000" w:rsidP="00000000" w:rsidRDefault="00000000" w:rsidRPr="00000000" w14:paraId="00000046">
      <w:pPr>
        <w:pageBreakBefore w:val="0"/>
        <w:numPr>
          <w:ilvl w:val="1"/>
          <w:numId w:val="1"/>
        </w:numPr>
        <w:pBdr>
          <w:top w:space="0" w:sz="0" w:val="nil"/>
          <w:left w:space="0" w:sz="0" w:val="nil"/>
          <w:bottom w:space="0" w:sz="0" w:val="nil"/>
          <w:right w:space="0" w:sz="0" w:val="nil"/>
          <w:between w:space="0" w:sz="0" w:val="nil"/>
        </w:pBdr>
        <w:shd w:fill="auto" w:val="clear"/>
        <w:ind w:left="1440" w:hanging="360"/>
        <w:rPr>
          <w:sz w:val="24"/>
          <w:szCs w:val="24"/>
          <w:u w:val="none"/>
        </w:rPr>
      </w:pPr>
      <w:r w:rsidDel="00000000" w:rsidR="00000000" w:rsidRPr="00000000">
        <w:rPr>
          <w:sz w:val="24"/>
          <w:szCs w:val="24"/>
          <w:rtl w:val="0"/>
        </w:rPr>
        <w:t xml:space="preserve">if the final consonant is voiced, all preceding consonants will be pronounced like their voiced counterpart;</w:t>
      </w:r>
      <w:r w:rsidDel="00000000" w:rsidR="00000000" w:rsidRPr="00000000">
        <w:rPr>
          <w:rtl w:val="0"/>
        </w:rPr>
      </w:r>
    </w:p>
    <w:p w:rsidR="00000000" w:rsidDel="00000000" w:rsidP="00000000" w:rsidRDefault="00000000" w:rsidRPr="00000000" w14:paraId="00000047">
      <w:pPr>
        <w:pageBreakBefore w:val="0"/>
        <w:numPr>
          <w:ilvl w:val="1"/>
          <w:numId w:val="1"/>
        </w:numPr>
        <w:pBdr>
          <w:top w:space="0" w:sz="0" w:val="nil"/>
          <w:left w:space="0" w:sz="0" w:val="nil"/>
          <w:bottom w:space="0" w:sz="0" w:val="nil"/>
          <w:right w:space="0" w:sz="0" w:val="nil"/>
          <w:between w:space="0" w:sz="0" w:val="nil"/>
        </w:pBdr>
        <w:shd w:fill="auto" w:val="clear"/>
        <w:ind w:left="1440" w:hanging="360"/>
        <w:rPr>
          <w:sz w:val="24"/>
          <w:szCs w:val="24"/>
          <w:u w:val="none"/>
        </w:rPr>
      </w:pPr>
      <w:r w:rsidDel="00000000" w:rsidR="00000000" w:rsidRPr="00000000">
        <w:rPr>
          <w:sz w:val="24"/>
          <w:szCs w:val="24"/>
          <w:rtl w:val="0"/>
        </w:rPr>
        <w:t xml:space="preserve">if the final consonant is voiceless, all preceding consonants will be pronounced as their voiceless counterpart.</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According to this rule, the following words will be pronounced as in brackets:</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        </w:t>
        <w:tab/>
        <w:t xml:space="preserve">o</w:t>
      </w:r>
      <w:r w:rsidDel="00000000" w:rsidR="00000000" w:rsidRPr="00000000">
        <w:rPr>
          <w:u w:val="single"/>
          <w:rtl w:val="0"/>
        </w:rPr>
        <w:t xml:space="preserve">bs</w:t>
      </w:r>
      <w:r w:rsidDel="00000000" w:rsidR="00000000" w:rsidRPr="00000000">
        <w:rPr>
          <w:rFonts w:ascii="Arial Unicode MS" w:cs="Arial Unicode MS" w:eastAsia="Arial Unicode MS" w:hAnsi="Arial Unicode MS"/>
          <w:rtl w:val="0"/>
        </w:rPr>
        <w:t xml:space="preserve">ahat → [o</w:t>
      </w:r>
      <w:r w:rsidDel="00000000" w:rsidR="00000000" w:rsidRPr="00000000">
        <w:rPr>
          <w:u w:val="single"/>
          <w:rtl w:val="0"/>
        </w:rPr>
        <w:t xml:space="preserve">ps</w:t>
      </w:r>
      <w:r w:rsidDel="00000000" w:rsidR="00000000" w:rsidRPr="00000000">
        <w:rPr>
          <w:rtl w:val="0"/>
        </w:rPr>
        <w:t xml:space="preserve">ahat]            </w:t>
        <w:tab/>
      </w:r>
      <w:r w:rsidDel="00000000" w:rsidR="00000000" w:rsidRPr="00000000">
        <w:rPr>
          <w:u w:val="single"/>
          <w:rtl w:val="0"/>
        </w:rPr>
        <w:t xml:space="preserve">vš</w:t>
      </w:r>
      <w:r w:rsidDel="00000000" w:rsidR="00000000" w:rsidRPr="00000000">
        <w:rPr>
          <w:rFonts w:ascii="Arial Unicode MS" w:cs="Arial Unicode MS" w:eastAsia="Arial Unicode MS" w:hAnsi="Arial Unicode MS"/>
          <w:rtl w:val="0"/>
        </w:rPr>
        <w:t xml:space="preserve">ední → [</w:t>
      </w:r>
      <w:r w:rsidDel="00000000" w:rsidR="00000000" w:rsidRPr="00000000">
        <w:rPr>
          <w:u w:val="single"/>
          <w:rtl w:val="0"/>
        </w:rPr>
        <w:t xml:space="preserve">fš</w:t>
      </w:r>
      <w:r w:rsidDel="00000000" w:rsidR="00000000" w:rsidRPr="00000000">
        <w:rPr>
          <w:rtl w:val="0"/>
        </w:rPr>
        <w:t xml:space="preserve">ední]</w:t>
      </w:r>
    </w:p>
    <w:p w:rsidR="00000000" w:rsidDel="00000000" w:rsidP="00000000" w:rsidRDefault="00000000" w:rsidRPr="00000000" w14:paraId="0000004C">
      <w:pPr>
        <w:pageBreakBefore w:val="0"/>
        <w:rPr/>
      </w:pPr>
      <w:r w:rsidDel="00000000" w:rsidR="00000000" w:rsidRPr="00000000">
        <w:rPr>
          <w:rtl w:val="0"/>
        </w:rPr>
        <w:t xml:space="preserve">        </w:t>
        <w:tab/>
        <w:t xml:space="preserve">přilo</w:t>
      </w:r>
      <w:r w:rsidDel="00000000" w:rsidR="00000000" w:rsidRPr="00000000">
        <w:rPr>
          <w:u w:val="single"/>
          <w:rtl w:val="0"/>
        </w:rPr>
        <w:t xml:space="preserve">žt</w:t>
      </w:r>
      <w:r w:rsidDel="00000000" w:rsidR="00000000" w:rsidRPr="00000000">
        <w:rPr>
          <w:rtl w:val="0"/>
        </w:rPr>
        <w:t xml:space="preserve">e → [přilo</w:t>
      </w:r>
      <w:r w:rsidDel="00000000" w:rsidR="00000000" w:rsidRPr="00000000">
        <w:rPr>
          <w:u w:val="single"/>
          <w:rtl w:val="0"/>
        </w:rPr>
        <w:t xml:space="preserve">št</w:t>
      </w:r>
      <w:r w:rsidDel="00000000" w:rsidR="00000000" w:rsidRPr="00000000">
        <w:rPr>
          <w:rtl w:val="0"/>
        </w:rPr>
        <w:t xml:space="preserve">e]              </w:t>
        <w:tab/>
        <w:t xml:space="preserve">če</w:t>
      </w:r>
      <w:r w:rsidDel="00000000" w:rsidR="00000000" w:rsidRPr="00000000">
        <w:rPr>
          <w:u w:val="single"/>
          <w:rtl w:val="0"/>
        </w:rPr>
        <w:t xml:space="preserve">tb</w:t>
      </w:r>
      <w:r w:rsidDel="00000000" w:rsidR="00000000" w:rsidRPr="00000000">
        <w:rPr>
          <w:rtl w:val="0"/>
        </w:rPr>
        <w:t xml:space="preserve">a → [če</w:t>
      </w:r>
      <w:r w:rsidDel="00000000" w:rsidR="00000000" w:rsidRPr="00000000">
        <w:rPr>
          <w:u w:val="single"/>
          <w:rtl w:val="0"/>
        </w:rPr>
        <w:t xml:space="preserve">db</w:t>
      </w:r>
      <w:r w:rsidDel="00000000" w:rsidR="00000000" w:rsidRPr="00000000">
        <w:rPr>
          <w:rtl w:val="0"/>
        </w:rPr>
        <w:t xml:space="preserve">a]</w:t>
      </w:r>
    </w:p>
    <w:p w:rsidR="00000000" w:rsidDel="00000000" w:rsidP="00000000" w:rsidRDefault="00000000" w:rsidRPr="00000000" w14:paraId="0000004D">
      <w:pPr>
        <w:pageBreakBefore w:val="0"/>
        <w:rPr/>
      </w:pPr>
      <w:r w:rsidDel="00000000" w:rsidR="00000000" w:rsidRPr="00000000">
        <w:rPr>
          <w:rtl w:val="0"/>
        </w:rPr>
        <w:t xml:space="preserve">        </w:t>
        <w:tab/>
        <w:t xml:space="preserve">nadá</w:t>
      </w:r>
      <w:r w:rsidDel="00000000" w:rsidR="00000000" w:rsidRPr="00000000">
        <w:rPr>
          <w:u w:val="single"/>
          <w:rtl w:val="0"/>
        </w:rPr>
        <w:t xml:space="preserve">vk</w:t>
      </w:r>
      <w:r w:rsidDel="00000000" w:rsidR="00000000" w:rsidRPr="00000000">
        <w:rPr>
          <w:rFonts w:ascii="Arial Unicode MS" w:cs="Arial Unicode MS" w:eastAsia="Arial Unicode MS" w:hAnsi="Arial Unicode MS"/>
          <w:rtl w:val="0"/>
        </w:rPr>
        <w:t xml:space="preserve">a → [nadáfka]           </w:t>
        <w:tab/>
      </w:r>
      <w:r w:rsidDel="00000000" w:rsidR="00000000" w:rsidRPr="00000000">
        <w:rPr>
          <w:u w:val="single"/>
          <w:rtl w:val="0"/>
        </w:rPr>
        <w:t xml:space="preserve">sd</w:t>
      </w:r>
      <w:r w:rsidDel="00000000" w:rsidR="00000000" w:rsidRPr="00000000">
        <w:rPr>
          <w:rtl w:val="0"/>
        </w:rPr>
        <w:t xml:space="preserve">ělit → [</w:t>
      </w:r>
      <w:r w:rsidDel="00000000" w:rsidR="00000000" w:rsidRPr="00000000">
        <w:rPr>
          <w:u w:val="single"/>
          <w:rtl w:val="0"/>
        </w:rPr>
        <w:t xml:space="preserve">zd</w:t>
      </w:r>
      <w:r w:rsidDel="00000000" w:rsidR="00000000" w:rsidRPr="00000000">
        <w:rPr>
          <w:rtl w:val="0"/>
        </w:rPr>
        <w:t xml:space="preserve">ělit]</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4F">
      <w:pPr>
        <w:pageBreakBefore w:val="0"/>
        <w:rPr/>
      </w:pPr>
      <w:r w:rsidDel="00000000" w:rsidR="00000000" w:rsidRPr="00000000">
        <w:rPr>
          <w:rtl w:val="0"/>
        </w:rPr>
        <w:t xml:space="preserve">Above all, the table above is your best tool for figuring these out.</w:t>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Style w:val="Subtitle"/>
        <w:pageBreakBefore w:val="0"/>
        <w:rPr/>
      </w:pPr>
      <w:bookmarkStart w:colFirst="0" w:colLast="0" w:name="_nfzn0m2m5pwy" w:id="1"/>
      <w:bookmarkEnd w:id="1"/>
      <w:r w:rsidDel="00000000" w:rsidR="00000000" w:rsidRPr="00000000">
        <w:rPr>
          <w:rtl w:val="0"/>
        </w:rPr>
        <w:t xml:space="preserve">Attributions</w:t>
      </w:r>
    </w:p>
    <w:p w:rsidR="00000000" w:rsidDel="00000000" w:rsidP="00000000" w:rsidRDefault="00000000" w:rsidRPr="00000000" w14:paraId="00000053">
      <w:pPr>
        <w:pageBreakBefore w:val="0"/>
        <w:rPr/>
      </w:pPr>
      <w:r w:rsidDel="00000000" w:rsidR="00000000" w:rsidRPr="00000000">
        <w:rPr>
          <w:rtl w:val="0"/>
        </w:rPr>
        <w:t xml:space="preserve">Images used in this document come from </w:t>
      </w:r>
      <w:hyperlink r:id="rId22">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54">
      <w:pPr>
        <w:pageBreakBefore w:val="0"/>
        <w:rPr/>
      </w:pPr>
      <w:r w:rsidDel="00000000" w:rsidR="00000000" w:rsidRPr="00000000">
        <w:rPr>
          <w:rtl w:val="0"/>
        </w:rPr>
        <w:t xml:space="preserve">Audio licensed CC-BY-SA from </w:t>
      </w:r>
      <w:hyperlink r:id="rId23">
        <w:r w:rsidDel="00000000" w:rsidR="00000000" w:rsidRPr="00000000">
          <w:rPr>
            <w:color w:val="1155cc"/>
            <w:u w:val="single"/>
            <w:rtl w:val="0"/>
          </w:rPr>
          <w:t xml:space="preserve">https://forvo.com/</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pxhere.com/en/photo/1169779" TargetMode="External"/><Relationship Id="rId22" Type="http://schemas.openxmlformats.org/officeDocument/2006/relationships/hyperlink" Target="https://docs.google.com/document/d/1zSVvQ1Po3k4-Sw8GvM3yMtkm03U0BWQ_nCFanxEs1Es/edit#heading=h.mltxq0bjrn0y" TargetMode="External"/><Relationship Id="rId10" Type="http://schemas.openxmlformats.org/officeDocument/2006/relationships/hyperlink" Target="https://drive.google.com/open?id=1cb4O1tv-Pag2ZpvyTxT4Ph4lVaF_ryT6" TargetMode="External"/><Relationship Id="rId21" Type="http://schemas.openxmlformats.org/officeDocument/2006/relationships/hyperlink" Target="https://drive.google.com/open?id=11I_Ju6WezWQwyWQZA00VLtlzpkF_x-Ij" TargetMode="External"/><Relationship Id="rId13" Type="http://schemas.openxmlformats.org/officeDocument/2006/relationships/hyperlink" Target="https://drive.google.com/open?id=1-fipvywmXYGOUC7XHNcFqJFYG4dPOifu" TargetMode="External"/><Relationship Id="rId12" Type="http://schemas.openxmlformats.org/officeDocument/2006/relationships/image" Target="media/image4.png"/><Relationship Id="rId23" Type="http://schemas.openxmlformats.org/officeDocument/2006/relationships/hyperlink" Target="https://forv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jpg"/><Relationship Id="rId14" Type="http://schemas.openxmlformats.org/officeDocument/2006/relationships/hyperlink" Target="https://en.wikipedia.org/wiki/File:Larynx_and_nearby_structures.jpg" TargetMode="External"/><Relationship Id="rId17" Type="http://schemas.openxmlformats.org/officeDocument/2006/relationships/image" Target="media/image3.png"/><Relationship Id="rId16" Type="http://schemas.openxmlformats.org/officeDocument/2006/relationships/hyperlink" Target="https://pixabay.com/photos/books-reading-pages-textbooks-1149959/" TargetMode="External"/><Relationship Id="rId5" Type="http://schemas.openxmlformats.org/officeDocument/2006/relationships/styles" Target="styles.xml"/><Relationship Id="rId19" Type="http://schemas.openxmlformats.org/officeDocument/2006/relationships/hyperlink" Target="https://commons.wikimedia.org/wiki/File:Macaca_nigra_self-portrait.jpg" TargetMode="External"/><Relationship Id="rId6" Type="http://schemas.openxmlformats.org/officeDocument/2006/relationships/hyperlink" Target="https://www.flickr.com/photos/aaronpk/4947807970" TargetMode="External"/><Relationship Id="rId18" Type="http://schemas.openxmlformats.org/officeDocument/2006/relationships/hyperlink" Target="https://drive.google.com/open?id=1fJ_ec5ATAwYODhzCN4ph9nJHVgPeiHKO" TargetMode="External"/><Relationship Id="rId7" Type="http://schemas.openxmlformats.org/officeDocument/2006/relationships/image" Target="media/image1.png"/><Relationship Id="rId8" Type="http://schemas.openxmlformats.org/officeDocument/2006/relationships/hyperlink" Target="https://www.publicdomainpictures.net/en/view-image.php?image=164892&amp;picture=ice-cub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