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 většinou koukám na zprávy a na filmy.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zprávy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news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večer většinou si pustím třeba nějaký film po večeři a potom dělám... třeba připravuju se na druhý den, třeba do školy, když mám nějaké domácí úkoly, a kolem půl dvanácté večer chodím spát.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pustit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put on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(+LOC) - after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připravovat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prepare oneself, get prepared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druhý 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next day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 školy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school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kolem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(+GEN) - around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Typický večer je, že se uvaří něco dobrého k večeři a třeba si čtu, nebo jdu někam sportovat.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uvaří se něco dobrého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something good is cooked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 většinou mám jenom někde doma, zalezu si pod deku a dívám se na televizi, na seriály, na filmy. Občas chodím do hospody, občas chodím na bowling, na kulečník, ale jsou to spíš jako výjimečný (výjimečné) situace, nebo jednou týdně, o víkendu.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zalezu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zalézt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si pod deku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crawl up under a blanket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kulečník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pool / billiards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spíš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more likely, rather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výjimečný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extraordinary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situace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situation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Večery se snažím trávit aktivně, většinou jdeme sportovat, nebo jdeme s přáteli na pivo, nebo do kina a tak různě.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trávit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spend (time)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večer rozhodně nechodím na pivo, ale taky záleží na tom, kdy ten večer začne, jestli je ještě energie na nějaký (nějaké) velký (velké) akce.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rozhodně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definitely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záleží na tom, kdy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depends on when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začne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začít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begins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energie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energy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akce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event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