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n2qcriy5f52g" w:id="0"/>
      <w:bookmarkEnd w:id="0"/>
      <w:r w:rsidDel="00000000" w:rsidR="00000000" w:rsidRPr="00000000">
        <w:rPr>
          <w:rtl w:val="0"/>
        </w:rPr>
        <w:t xml:space="preserve">2.1 - Vaše rodina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4762500" cy="412432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13399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00" cy="41243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Rodina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family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matka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máma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otec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father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táta, tatínek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dad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rodiče (m.a.)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parents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dítě (n.)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child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děti (f. pl.)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children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dcera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daughter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syn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bratr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brother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sestra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sister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sourozenec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sibling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muž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man, husband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žena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woman, wife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manžel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husband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manželka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wife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babička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grandmother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dědeček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grandfather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prarodiče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grandparents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vnuk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grandson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vnučka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granddaughter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přítel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boyfriend</w:t>
            </w:r>
            <w:r w:rsidDel="00000000" w:rsidR="00000000" w:rsidRPr="00000000">
              <w:rPr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přítelkyně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girlfriend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neteř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niece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synovec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nephew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strýc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uncle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bratranec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male cousin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sestřenice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female cousin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5">
      <w:pPr>
        <w:pageBreakBefore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„pes je nejlepší přítel člověka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ob3WPBc2PIWuMMfyjF6IDcxuBo1iyfqvtcL5dd9D0rE/edit#heading=h.id6j7ofa3ce3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ublicdomainvectors.org/en/free-clipart/Family-color-silhouette/83414.html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