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nmazzv8ezddi" w:id="0"/>
      <w:bookmarkEnd w:id="0"/>
      <w:r w:rsidDel="00000000" w:rsidR="00000000" w:rsidRPr="00000000">
        <w:rPr>
          <w:rtl w:val="0"/>
        </w:rPr>
        <w:t xml:space="preserve">4.9 - Doing things for people - the preposition </w:t>
      </w:r>
      <w:r w:rsidDel="00000000" w:rsidR="00000000" w:rsidRPr="00000000">
        <w:rPr>
          <w:i w:val="1"/>
          <w:rtl w:val="0"/>
        </w:rPr>
        <w:t xml:space="preserve">pro </w:t>
      </w:r>
      <w:r w:rsidDel="00000000" w:rsidR="00000000" w:rsidRPr="00000000">
        <w:rPr>
          <w:rtl w:val="0"/>
        </w:rPr>
        <w:t xml:space="preserve">'for' (again)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You can buy something for yourself </w:t>
      </w:r>
      <w:r w:rsidDel="00000000" w:rsidR="00000000" w:rsidRPr="00000000">
        <w:rPr>
          <w:i w:val="1"/>
          <w:rtl w:val="0"/>
        </w:rPr>
        <w:t xml:space="preserve">(kupovat si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, but we can also buy things for others. If we want to buy something </w:t>
      </w:r>
      <w:r w:rsidDel="00000000" w:rsidR="00000000" w:rsidRPr="00000000">
        <w:rPr>
          <w:i w:val="1"/>
          <w:rtl w:val="0"/>
        </w:rPr>
        <w:t xml:space="preserve">for</w:t>
      </w:r>
      <w:r w:rsidDel="00000000" w:rsidR="00000000" w:rsidRPr="00000000">
        <w:rPr>
          <w:rtl w:val="0"/>
        </w:rPr>
        <w:t xml:space="preserve"> someone, we’ll need the preposition </w:t>
      </w:r>
      <w:r w:rsidDel="00000000" w:rsidR="00000000" w:rsidRPr="00000000">
        <w:rPr>
          <w:i w:val="1"/>
          <w:rtl w:val="0"/>
        </w:rPr>
        <w:t xml:space="preserve">pro</w:t>
      </w:r>
      <w:r w:rsidDel="00000000" w:rsidR="00000000" w:rsidRPr="00000000">
        <w:rPr>
          <w:rtl w:val="0"/>
        </w:rPr>
        <w:t xml:space="preserve"> ‘for’. We covered this in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3.10 - </w:t>
        </w:r>
      </w:hyperlink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pro koho?</w:t>
        </w:r>
      </w:hyperlink>
      <w:r w:rsidDel="00000000" w:rsidR="00000000" w:rsidRPr="00000000">
        <w:rPr>
          <w:rtl w:val="0"/>
        </w:rPr>
        <w:t xml:space="preserve">, but here is a short review: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pro</w:t>
      </w:r>
      <w:r w:rsidDel="00000000" w:rsidR="00000000" w:rsidRPr="00000000">
        <w:rPr>
          <w:rtl w:val="0"/>
        </w:rPr>
        <w:t xml:space="preserve"> + ACC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The preposition </w:t>
      </w:r>
      <w:r w:rsidDel="00000000" w:rsidR="00000000" w:rsidRPr="00000000">
        <w:rPr>
          <w:i w:val="1"/>
          <w:rtl w:val="0"/>
        </w:rPr>
        <w:t xml:space="preserve">pro</w:t>
      </w:r>
      <w:r w:rsidDel="00000000" w:rsidR="00000000" w:rsidRPr="00000000">
        <w:rPr>
          <w:rtl w:val="0"/>
        </w:rPr>
        <w:t xml:space="preserve"> ‘for’ is followed by the accusative case. Why the accusative case?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/>
      </w:pPr>
      <w:hyperlink r:id="rId8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233988" cy="3489325"/>
              <wp:effectExtent b="0" l="0" r="0" t="0"/>
              <wp:docPr descr="2799746255_436723e65c_b.jpg" id="1" name="image1.jpg"/>
              <a:graphic>
                <a:graphicData uri="http://schemas.openxmlformats.org/drawingml/2006/picture">
                  <pic:pic>
                    <pic:nvPicPr>
                      <pic:cNvPr descr="2799746255_436723e65c_b.jpg" id="0" name="image1.jp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33988" cy="34893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Sometimes you just need to memorize that a certain case (i.e. accusative, genitive, dative, etc.) is found after a preposition. This is one of those instances. You just </w:t>
      </w:r>
      <w:r w:rsidDel="00000000" w:rsidR="00000000" w:rsidRPr="00000000">
        <w:rPr>
          <w:b w:val="1"/>
          <w:rtl w:val="0"/>
        </w:rPr>
        <w:t xml:space="preserve">have to memorize</w:t>
      </w:r>
      <w:r w:rsidDel="00000000" w:rsidR="00000000" w:rsidRPr="00000000">
        <w:rPr>
          <w:rtl w:val="0"/>
        </w:rPr>
        <w:t xml:space="preserve"> that </w:t>
      </w:r>
      <w:r w:rsidDel="00000000" w:rsidR="00000000" w:rsidRPr="00000000">
        <w:rPr>
          <w:i w:val="1"/>
          <w:rtl w:val="0"/>
        </w:rPr>
        <w:t xml:space="preserve">pro</w:t>
      </w:r>
      <w:r w:rsidDel="00000000" w:rsidR="00000000" w:rsidRPr="00000000">
        <w:rPr>
          <w:rtl w:val="0"/>
        </w:rPr>
        <w:t xml:space="preserve"> is followed by the accusative case.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Ok, now that that’s out of the way, let’s see some examples: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Petr kupuje náušnice pro přítelkyni.</w:t>
      </w:r>
    </w:p>
    <w:p w:rsidR="00000000" w:rsidDel="00000000" w:rsidP="00000000" w:rsidRDefault="00000000" w:rsidRPr="00000000" w14:paraId="0000001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Petr is buying earrings for his girlfriend.</w:t>
      </w:r>
    </w:p>
    <w:p w:rsidR="00000000" w:rsidDel="00000000" w:rsidP="00000000" w:rsidRDefault="00000000" w:rsidRPr="00000000" w14:paraId="00000011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Kupuju svetr pro Janu.</w:t>
      </w:r>
    </w:p>
    <w:p w:rsidR="00000000" w:rsidDel="00000000" w:rsidP="00000000" w:rsidRDefault="00000000" w:rsidRPr="00000000" w14:paraId="00000013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I’m buying a sweater for Jana.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Lenka kupuje tričko pro přítele.</w:t>
        <w:br w:type="textWrapping"/>
      </w:r>
      <w:r w:rsidDel="00000000" w:rsidR="00000000" w:rsidRPr="00000000">
        <w:rPr>
          <w:rtl w:val="0"/>
        </w:rPr>
        <w:t xml:space="preserve">Lenka is buying a t-shirt for (her) boyfriend.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Remember that the accusative of </w:t>
      </w:r>
      <w:r w:rsidDel="00000000" w:rsidR="00000000" w:rsidRPr="00000000">
        <w:rPr>
          <w:i w:val="1"/>
          <w:rtl w:val="0"/>
        </w:rPr>
        <w:t xml:space="preserve">kdo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i w:val="1"/>
          <w:rtl w:val="0"/>
        </w:rPr>
        <w:t xml:space="preserve">koho</w:t>
      </w:r>
      <w:r w:rsidDel="00000000" w:rsidR="00000000" w:rsidRPr="00000000">
        <w:rPr>
          <w:rtl w:val="0"/>
        </w:rPr>
        <w:t xml:space="preserve">, so if you want to say ‘for who?’, we say </w:t>
      </w:r>
      <w:r w:rsidDel="00000000" w:rsidR="00000000" w:rsidRPr="00000000">
        <w:rPr>
          <w:i w:val="1"/>
          <w:rtl w:val="0"/>
        </w:rPr>
        <w:t xml:space="preserve">pro koho?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Pro koho kupuješ ten dárek?</w:t>
      </w:r>
    </w:p>
    <w:p w:rsidR="00000000" w:rsidDel="00000000" w:rsidP="00000000" w:rsidRDefault="00000000" w:rsidRPr="00000000" w14:paraId="0000001A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Who are you buying that gift for? (for whom are you buying that gift?)</w:t>
      </w:r>
    </w:p>
    <w:p w:rsidR="00000000" w:rsidDel="00000000" w:rsidP="00000000" w:rsidRDefault="00000000" w:rsidRPr="00000000" w14:paraId="0000001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Xo646gq_-RYxFseXVAapjPBPXowVA9NjxukSlYo8has/edit#heading=h.v73nqb3m1859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e/2PACX-1vQsuUYBRQau00jti-hKamXnq9ayoU5qSmDYKjUV1HY2cZu1gF_3bJV_wKUfxhwxMkzMHGOBV9zMHpPV/pub" TargetMode="External"/><Relationship Id="rId7" Type="http://schemas.openxmlformats.org/officeDocument/2006/relationships/hyperlink" Target="https://docs.google.com/document/d/e/2PACX-1vQsuUYBRQau00jti-hKamXnq9ayoU5qSmDYKjUV1HY2cZu1gF_3bJV_wKUfxhwxMkzMHGOBV9zMHpPV/pub" TargetMode="External"/><Relationship Id="rId8" Type="http://schemas.openxmlformats.org/officeDocument/2006/relationships/hyperlink" Target="https://www.flickr.com/photos/suthakamal/27997462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