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pPr>
      <w:bookmarkStart w:colFirst="0" w:colLast="0" w:name="_wqj27ug8rk3n" w:id="0"/>
      <w:bookmarkEnd w:id="0"/>
      <w:r w:rsidDel="00000000" w:rsidR="00000000" w:rsidRPr="00000000">
        <w:rPr>
          <w:rtl w:val="0"/>
        </w:rPr>
        <w:t xml:space="preserve">9.5 - Komu zavolám? Komu napíšu zprávu?</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Around the holidays (or COVID-19 for that matter), we can’t always see our family and friends. There are of course other ways we stay in touch, such as calling or writing:</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i w:val="1"/>
          <w:rtl w:val="0"/>
        </w:rPr>
        <w:t xml:space="preserve">volat / zavolat</w:t>
      </w:r>
      <w:r w:rsidDel="00000000" w:rsidR="00000000" w:rsidRPr="00000000">
        <w:rPr>
          <w:rtl w:val="0"/>
        </w:rPr>
        <w:t xml:space="preserve"> - to call</w:t>
      </w:r>
    </w:p>
    <w:p w:rsidR="00000000" w:rsidDel="00000000" w:rsidP="00000000" w:rsidRDefault="00000000" w:rsidRPr="00000000" w14:paraId="00000006">
      <w:pPr>
        <w:pageBreakBefore w:val="0"/>
        <w:rPr/>
      </w:pPr>
      <w:r w:rsidDel="00000000" w:rsidR="00000000" w:rsidRPr="00000000">
        <w:rPr>
          <w:i w:val="1"/>
          <w:rtl w:val="0"/>
        </w:rPr>
        <w:t xml:space="preserve">telefonovat / zatelefonovat</w:t>
      </w:r>
      <w:r w:rsidDel="00000000" w:rsidR="00000000" w:rsidRPr="00000000">
        <w:rPr>
          <w:rtl w:val="0"/>
        </w:rPr>
        <w:t xml:space="preserve"> - to telephone</w:t>
      </w:r>
    </w:p>
    <w:p w:rsidR="00000000" w:rsidDel="00000000" w:rsidP="00000000" w:rsidRDefault="00000000" w:rsidRPr="00000000" w14:paraId="00000007">
      <w:pPr>
        <w:pageBreakBefore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jc w:val="center"/>
              <w:rPr/>
            </w:pPr>
            <w:hyperlink r:id="rId6">
              <w:r w:rsidDel="00000000" w:rsidR="00000000" w:rsidRPr="00000000">
                <w:rPr>
                  <w:color w:val="1155cc"/>
                  <w:u w:val="single"/>
                </w:rPr>
                <w:drawing>
                  <wp:inline distB="114300" distT="114300" distL="114300" distR="114300">
                    <wp:extent cx="2838450" cy="18796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38450" cy="1879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jc w:val="center"/>
              <w:rPr/>
            </w:pPr>
            <w:hyperlink r:id="rId8">
              <w:r w:rsidDel="00000000" w:rsidR="00000000" w:rsidRPr="00000000">
                <w:rPr>
                  <w:color w:val="1155cc"/>
                  <w:u w:val="single"/>
                </w:rPr>
                <w:drawing>
                  <wp:inline distB="114300" distT="114300" distL="114300" distR="114300">
                    <wp:extent cx="2838450" cy="18923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jc w:val="center"/>
              <w:rPr/>
            </w:pPr>
            <w:r w:rsidDel="00000000" w:rsidR="00000000" w:rsidRPr="00000000">
              <w:rPr>
                <w:rtl w:val="0"/>
              </w:rPr>
              <w:t xml:space="preserve">Marie často </w:t>
            </w:r>
            <w:r w:rsidDel="00000000" w:rsidR="00000000" w:rsidRPr="00000000">
              <w:rPr>
                <w:i w:val="1"/>
                <w:rtl w:val="0"/>
              </w:rPr>
              <w:t xml:space="preserve">volá </w:t>
            </w:r>
            <w:r w:rsidDel="00000000" w:rsidR="00000000" w:rsidRPr="00000000">
              <w:rPr>
                <w:rtl w:val="0"/>
              </w:rPr>
              <w:t xml:space="preserve">kamarádovi, který bydlí v Německu.</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jc w:val="center"/>
              <w:rPr/>
            </w:pPr>
            <w:r w:rsidDel="00000000" w:rsidR="00000000" w:rsidRPr="00000000">
              <w:rPr>
                <w:rtl w:val="0"/>
              </w:rPr>
              <w:t xml:space="preserve">Karel </w:t>
            </w:r>
            <w:r w:rsidDel="00000000" w:rsidR="00000000" w:rsidRPr="00000000">
              <w:rPr>
                <w:i w:val="1"/>
                <w:rtl w:val="0"/>
              </w:rPr>
              <w:t xml:space="preserve">napsal zprávu </w:t>
            </w:r>
            <w:r w:rsidDel="00000000" w:rsidR="00000000" w:rsidRPr="00000000">
              <w:rPr>
                <w:rtl w:val="0"/>
              </w:rPr>
              <w:t xml:space="preserve">přítelkyni, protože je teď mimo město. </w:t>
            </w:r>
          </w:p>
        </w:tc>
      </w:tr>
    </w:tbl>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i w:val="1"/>
          <w:rtl w:val="0"/>
        </w:rPr>
        <w:t xml:space="preserve">psát / napsat</w:t>
      </w:r>
      <w:r w:rsidDel="00000000" w:rsidR="00000000" w:rsidRPr="00000000">
        <w:rPr>
          <w:rtl w:val="0"/>
        </w:rPr>
        <w:t xml:space="preserve"> - to write</w:t>
      </w:r>
    </w:p>
    <w:p w:rsidR="00000000" w:rsidDel="00000000" w:rsidP="00000000" w:rsidRDefault="00000000" w:rsidRPr="00000000" w14:paraId="0000000E">
      <w:pPr>
        <w:pageBreakBefore w:val="0"/>
        <w:ind w:left="0" w:firstLine="0"/>
        <w:rPr/>
      </w:pPr>
      <w:r w:rsidDel="00000000" w:rsidR="00000000" w:rsidRPr="00000000">
        <w:rPr>
          <w:i w:val="1"/>
          <w:rtl w:val="0"/>
        </w:rPr>
        <w:t xml:space="preserve">posílat / poslat</w:t>
      </w:r>
      <w:r w:rsidDel="00000000" w:rsidR="00000000" w:rsidRPr="00000000">
        <w:rPr>
          <w:rtl w:val="0"/>
        </w:rPr>
        <w:t xml:space="preserve"> - to send</w:t>
      </w:r>
    </w:p>
    <w:p w:rsidR="00000000" w:rsidDel="00000000" w:rsidP="00000000" w:rsidRDefault="00000000" w:rsidRPr="00000000" w14:paraId="0000000F">
      <w:pPr>
        <w:pageBreakBefore w:val="0"/>
        <w:ind w:left="0" w:firstLine="0"/>
        <w:rPr/>
      </w:pPr>
      <w:r w:rsidDel="00000000" w:rsidR="00000000" w:rsidRPr="00000000">
        <w:rPr>
          <w:rtl w:val="0"/>
        </w:rPr>
      </w:r>
    </w:p>
    <w:p w:rsidR="00000000" w:rsidDel="00000000" w:rsidP="00000000" w:rsidRDefault="00000000" w:rsidRPr="00000000" w14:paraId="00000010">
      <w:pPr>
        <w:pageBreakBefore w:val="0"/>
        <w:ind w:left="0" w:firstLine="0"/>
        <w:rPr/>
      </w:pPr>
      <w:r w:rsidDel="00000000" w:rsidR="00000000" w:rsidRPr="00000000">
        <w:rPr>
          <w:rtl w:val="0"/>
        </w:rPr>
        <w:t xml:space="preserve">One can write or send any of the following:</w:t>
      </w:r>
    </w:p>
    <w:p w:rsidR="00000000" w:rsidDel="00000000" w:rsidP="00000000" w:rsidRDefault="00000000" w:rsidRPr="00000000" w14:paraId="00000011">
      <w:pPr>
        <w:pageBreakBefore w:val="0"/>
        <w:numPr>
          <w:ilvl w:val="0"/>
          <w:numId w:val="1"/>
        </w:numPr>
        <w:ind w:left="720" w:hanging="360"/>
        <w:rPr>
          <w:u w:val="none"/>
        </w:rPr>
      </w:pPr>
      <w:r w:rsidDel="00000000" w:rsidR="00000000" w:rsidRPr="00000000">
        <w:rPr>
          <w:i w:val="1"/>
          <w:rtl w:val="0"/>
        </w:rPr>
        <w:t xml:space="preserve">esemeska</w:t>
      </w:r>
      <w:r w:rsidDel="00000000" w:rsidR="00000000" w:rsidRPr="00000000">
        <w:rPr>
          <w:rtl w:val="0"/>
        </w:rPr>
        <w:t xml:space="preserve"> - sms, text message</w:t>
      </w:r>
    </w:p>
    <w:p w:rsidR="00000000" w:rsidDel="00000000" w:rsidP="00000000" w:rsidRDefault="00000000" w:rsidRPr="00000000" w14:paraId="00000012">
      <w:pPr>
        <w:pageBreakBefore w:val="0"/>
        <w:numPr>
          <w:ilvl w:val="0"/>
          <w:numId w:val="1"/>
        </w:numPr>
        <w:ind w:left="720" w:hanging="360"/>
        <w:rPr>
          <w:u w:val="none"/>
        </w:rPr>
      </w:pPr>
      <w:r w:rsidDel="00000000" w:rsidR="00000000" w:rsidRPr="00000000">
        <w:rPr>
          <w:i w:val="1"/>
          <w:rtl w:val="0"/>
        </w:rPr>
        <w:t xml:space="preserve">zpráva</w:t>
      </w:r>
      <w:r w:rsidDel="00000000" w:rsidR="00000000" w:rsidRPr="00000000">
        <w:rPr>
          <w:rtl w:val="0"/>
        </w:rPr>
        <w:t xml:space="preserve"> - message</w:t>
      </w:r>
    </w:p>
    <w:p w:rsidR="00000000" w:rsidDel="00000000" w:rsidP="00000000" w:rsidRDefault="00000000" w:rsidRPr="00000000" w14:paraId="00000013">
      <w:pPr>
        <w:pageBreakBefore w:val="0"/>
        <w:numPr>
          <w:ilvl w:val="0"/>
          <w:numId w:val="1"/>
        </w:numPr>
        <w:ind w:left="720" w:hanging="360"/>
        <w:rPr>
          <w:i w:val="1"/>
        </w:rPr>
      </w:pPr>
      <w:r w:rsidDel="00000000" w:rsidR="00000000" w:rsidRPr="00000000">
        <w:rPr>
          <w:i w:val="1"/>
          <w:rtl w:val="0"/>
        </w:rPr>
        <w:t xml:space="preserve">e-mail</w:t>
      </w:r>
    </w:p>
    <w:p w:rsidR="00000000" w:rsidDel="00000000" w:rsidP="00000000" w:rsidRDefault="00000000" w:rsidRPr="00000000" w14:paraId="00000014">
      <w:pPr>
        <w:pageBreakBefore w:val="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hyperlink r:id="rId10">
              <w:r w:rsidDel="00000000" w:rsidR="00000000" w:rsidRPr="00000000">
                <w:rPr>
                  <w:i w:val="1"/>
                  <w:color w:val="1155cc"/>
                  <w:u w:val="single"/>
                </w:rPr>
                <w:drawing>
                  <wp:inline distB="114300" distT="114300" distL="114300" distR="114300">
                    <wp:extent cx="2838450" cy="18923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hyperlink r:id="rId12">
              <w:r w:rsidDel="00000000" w:rsidR="00000000" w:rsidRPr="00000000">
                <w:rPr>
                  <w:i w:val="1"/>
                  <w:color w:val="1155cc"/>
                  <w:u w:val="single"/>
                </w:rPr>
                <w:drawing>
                  <wp:inline distB="114300" distT="114300" distL="114300" distR="114300">
                    <wp:extent cx="2838450" cy="1892300"/>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Jaroslav často  píše zprávy přítelkyni.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Klára zavolala Pavlovi a popřála mu všechno nejlepší k narozeninám.</w:t>
            </w:r>
          </w:p>
        </w:tc>
      </w:tr>
    </w:tbl>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t xml:space="preserve">As you can see with these examples above, these verbs are followed by the dative case, since the person to whom you send something, write something, or call to is the indirect object:</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spacing w:line="240" w:lineRule="auto"/>
        <w:rPr>
          <w:b w:val="1"/>
        </w:rPr>
      </w:pPr>
      <w:r w:rsidDel="00000000" w:rsidR="00000000" w:rsidRPr="00000000">
        <w:rPr>
          <w:b w:val="1"/>
          <w:rtl w:val="0"/>
        </w:rPr>
        <w:t xml:space="preserve"> Dative (komu, čemu)</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ffffff" w:val="clear"/>
            <w:tcMar>
              <w:top w:w="0.0" w:type="dxa"/>
              <w:left w:w="0.0" w:type="dxa"/>
              <w:bottom w:w="0.0" w:type="dxa"/>
              <w:right w:w="0.0" w:type="dxa"/>
            </w:tcMar>
          </w:tcPr>
          <w:p w:rsidR="00000000" w:rsidDel="00000000" w:rsidP="00000000" w:rsidRDefault="00000000" w:rsidRPr="00000000" w14:paraId="0000001D">
            <w:pPr>
              <w:pageBreakBefore w:val="0"/>
              <w:spacing w:line="240" w:lineRule="auto"/>
              <w:jc w:val="center"/>
              <w:rPr/>
            </w:pPr>
            <w:r w:rsidDel="00000000" w:rsidR="00000000" w:rsidRPr="00000000">
              <w:rPr>
                <w:rtl w:val="0"/>
              </w:rPr>
            </w:r>
          </w:p>
        </w:tc>
        <w:tc>
          <w:tcPr>
            <w:shd w:fill="ffffff" w:val="clear"/>
            <w:tcMar>
              <w:top w:w="0.0" w:type="dxa"/>
              <w:left w:w="0.0" w:type="dxa"/>
              <w:bottom w:w="0.0" w:type="dxa"/>
              <w:right w:w="0.0" w:type="dxa"/>
            </w:tcMar>
          </w:tcPr>
          <w:p w:rsidR="00000000" w:rsidDel="00000000" w:rsidP="00000000" w:rsidRDefault="00000000" w:rsidRPr="00000000" w14:paraId="0000001E">
            <w:pPr>
              <w:pageBreakBefore w:val="0"/>
              <w:spacing w:line="240" w:lineRule="auto"/>
              <w:jc w:val="center"/>
              <w:rPr>
                <w:b w:val="1"/>
              </w:rPr>
            </w:pPr>
            <w:r w:rsidDel="00000000" w:rsidR="00000000" w:rsidRPr="00000000">
              <w:rPr>
                <w:b w:val="1"/>
                <w:rtl w:val="0"/>
              </w:rPr>
              <w:t xml:space="preserve">MA</w:t>
            </w:r>
          </w:p>
        </w:tc>
        <w:tc>
          <w:tcPr>
            <w:shd w:fill="ffffff" w:val="clear"/>
            <w:tcMar>
              <w:top w:w="0.0" w:type="dxa"/>
              <w:left w:w="0.0" w:type="dxa"/>
              <w:bottom w:w="0.0" w:type="dxa"/>
              <w:right w:w="0.0" w:type="dxa"/>
            </w:tcMar>
          </w:tcPr>
          <w:p w:rsidR="00000000" w:rsidDel="00000000" w:rsidP="00000000" w:rsidRDefault="00000000" w:rsidRPr="00000000" w14:paraId="0000001F">
            <w:pPr>
              <w:pageBreakBefore w:val="0"/>
              <w:spacing w:line="240" w:lineRule="auto"/>
              <w:jc w:val="center"/>
              <w:rPr>
                <w:b w:val="1"/>
              </w:rPr>
            </w:pPr>
            <w:r w:rsidDel="00000000" w:rsidR="00000000" w:rsidRPr="00000000">
              <w:rPr>
                <w:b w:val="1"/>
                <w:rtl w:val="0"/>
              </w:rPr>
              <w:t xml:space="preserve">MI</w:t>
            </w:r>
          </w:p>
        </w:tc>
        <w:tc>
          <w:tcPr>
            <w:shd w:fill="ffffff" w:val="clear"/>
            <w:tcMar>
              <w:top w:w="0.0" w:type="dxa"/>
              <w:left w:w="0.0" w:type="dxa"/>
              <w:bottom w:w="0.0" w:type="dxa"/>
              <w:right w:w="0.0" w:type="dxa"/>
            </w:tcMar>
          </w:tcPr>
          <w:p w:rsidR="00000000" w:rsidDel="00000000" w:rsidP="00000000" w:rsidRDefault="00000000" w:rsidRPr="00000000" w14:paraId="00000020">
            <w:pPr>
              <w:pageBreakBefore w:val="0"/>
              <w:spacing w:line="240" w:lineRule="auto"/>
              <w:jc w:val="center"/>
              <w:rPr>
                <w:b w:val="1"/>
              </w:rPr>
            </w:pPr>
            <w:r w:rsidDel="00000000" w:rsidR="00000000" w:rsidRPr="00000000">
              <w:rPr>
                <w:b w:val="1"/>
                <w:rtl w:val="0"/>
              </w:rPr>
              <w:t xml:space="preserve">F</w:t>
            </w:r>
          </w:p>
        </w:tc>
        <w:tc>
          <w:tcPr>
            <w:shd w:fill="ffffff" w:val="clear"/>
            <w:tcMar>
              <w:top w:w="0.0" w:type="dxa"/>
              <w:left w:w="0.0" w:type="dxa"/>
              <w:bottom w:w="0.0" w:type="dxa"/>
              <w:right w:w="0.0" w:type="dxa"/>
            </w:tcMar>
          </w:tcPr>
          <w:p w:rsidR="00000000" w:rsidDel="00000000" w:rsidP="00000000" w:rsidRDefault="00000000" w:rsidRPr="00000000" w14:paraId="00000021">
            <w:pPr>
              <w:pageBreakBefore w:val="0"/>
              <w:spacing w:line="240" w:lineRule="auto"/>
              <w:jc w:val="center"/>
              <w:rPr>
                <w:b w:val="1"/>
              </w:rPr>
            </w:pPr>
            <w:r w:rsidDel="00000000" w:rsidR="00000000" w:rsidRPr="00000000">
              <w:rPr>
                <w:b w:val="1"/>
                <w:rtl w:val="0"/>
              </w:rPr>
              <w:t xml:space="preserve">N</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22">
            <w:pPr>
              <w:pageBreakBefore w:val="0"/>
              <w:spacing w:line="240" w:lineRule="auto"/>
              <w:jc w:val="center"/>
              <w:rPr>
                <w:b w:val="1"/>
              </w:rPr>
            </w:pPr>
            <w:r w:rsidDel="00000000" w:rsidR="00000000" w:rsidRPr="00000000">
              <w:rPr>
                <w:b w:val="1"/>
                <w:rtl w:val="0"/>
              </w:rPr>
              <w:t xml:space="preserve">Hard stem nouns</w:t>
            </w:r>
          </w:p>
        </w:tc>
        <w:tc>
          <w:tcPr>
            <w:shd w:fill="ffffff" w:val="clear"/>
            <w:tcMar>
              <w:top w:w="0.0" w:type="dxa"/>
              <w:left w:w="0.0" w:type="dxa"/>
              <w:bottom w:w="0.0" w:type="dxa"/>
              <w:right w:w="0.0" w:type="dxa"/>
            </w:tcMar>
            <w:vAlign w:val="center"/>
          </w:tcPr>
          <w:p w:rsidR="00000000" w:rsidDel="00000000" w:rsidP="00000000" w:rsidRDefault="00000000" w:rsidRPr="00000000" w14:paraId="00000023">
            <w:pPr>
              <w:pageBreakBefore w:val="0"/>
              <w:spacing w:line="240" w:lineRule="auto"/>
              <w:jc w:val="center"/>
              <w:rPr/>
            </w:pPr>
            <w:r w:rsidDel="00000000" w:rsidR="00000000" w:rsidRPr="00000000">
              <w:rPr>
                <w:rtl w:val="0"/>
              </w:rPr>
              <w:t xml:space="preserve">pánovi</w:t>
            </w:r>
          </w:p>
        </w:tc>
        <w:tc>
          <w:tcPr>
            <w:shd w:fill="ffffff" w:val="clear"/>
            <w:tcMar>
              <w:top w:w="0.0" w:type="dxa"/>
              <w:left w:w="0.0" w:type="dxa"/>
              <w:bottom w:w="0.0" w:type="dxa"/>
              <w:right w:w="0.0" w:type="dxa"/>
            </w:tcMar>
            <w:vAlign w:val="center"/>
          </w:tcPr>
          <w:p w:rsidR="00000000" w:rsidDel="00000000" w:rsidP="00000000" w:rsidRDefault="00000000" w:rsidRPr="00000000" w14:paraId="00000024">
            <w:pPr>
              <w:pageBreakBefore w:val="0"/>
              <w:spacing w:line="240" w:lineRule="auto"/>
              <w:jc w:val="center"/>
              <w:rPr/>
            </w:pPr>
            <w:r w:rsidDel="00000000" w:rsidR="00000000" w:rsidRPr="00000000">
              <w:rPr>
                <w:rtl w:val="0"/>
              </w:rPr>
              <w:t xml:space="preserve">hradu</w:t>
            </w:r>
          </w:p>
        </w:tc>
        <w:tc>
          <w:tcPr>
            <w:shd w:fill="ffffff" w:val="clear"/>
            <w:tcMar>
              <w:top w:w="0.0" w:type="dxa"/>
              <w:left w:w="0.0" w:type="dxa"/>
              <w:bottom w:w="0.0" w:type="dxa"/>
              <w:right w:w="0.0" w:type="dxa"/>
            </w:tcMar>
            <w:vAlign w:val="center"/>
          </w:tcPr>
          <w:p w:rsidR="00000000" w:rsidDel="00000000" w:rsidP="00000000" w:rsidRDefault="00000000" w:rsidRPr="00000000" w14:paraId="00000025">
            <w:pPr>
              <w:pageBreakBefore w:val="0"/>
              <w:spacing w:line="240" w:lineRule="auto"/>
              <w:jc w:val="center"/>
              <w:rPr/>
            </w:pPr>
            <w:r w:rsidDel="00000000" w:rsidR="00000000" w:rsidRPr="00000000">
              <w:rPr>
                <w:rtl w:val="0"/>
              </w:rPr>
              <w:t xml:space="preserve">ženě</w:t>
            </w:r>
          </w:p>
        </w:tc>
        <w:tc>
          <w:tcPr>
            <w:shd w:fill="ffffff" w:val="clear"/>
            <w:tcMar>
              <w:top w:w="0.0" w:type="dxa"/>
              <w:left w:w="0.0" w:type="dxa"/>
              <w:bottom w:w="0.0" w:type="dxa"/>
              <w:right w:w="0.0" w:type="dxa"/>
            </w:tcMar>
            <w:vAlign w:val="center"/>
          </w:tcPr>
          <w:p w:rsidR="00000000" w:rsidDel="00000000" w:rsidP="00000000" w:rsidRDefault="00000000" w:rsidRPr="00000000" w14:paraId="00000026">
            <w:pPr>
              <w:pageBreakBefore w:val="0"/>
              <w:spacing w:line="240" w:lineRule="auto"/>
              <w:jc w:val="center"/>
              <w:rPr/>
            </w:pPr>
            <w:r w:rsidDel="00000000" w:rsidR="00000000" w:rsidRPr="00000000">
              <w:rPr>
                <w:rtl w:val="0"/>
              </w:rPr>
              <w:t xml:space="preserve">městu</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27">
            <w:pPr>
              <w:pageBreakBefore w:val="0"/>
              <w:spacing w:line="240" w:lineRule="auto"/>
              <w:jc w:val="center"/>
              <w:rPr>
                <w:b w:val="1"/>
              </w:rPr>
            </w:pPr>
            <w:r w:rsidDel="00000000" w:rsidR="00000000" w:rsidRPr="00000000">
              <w:rPr>
                <w:b w:val="1"/>
                <w:rtl w:val="0"/>
              </w:rPr>
              <w:t xml:space="preserve">Soft stem nouns</w:t>
            </w:r>
          </w:p>
        </w:tc>
        <w:tc>
          <w:tcPr>
            <w:shd w:fill="ffffff" w:val="clear"/>
            <w:tcMar>
              <w:top w:w="0.0" w:type="dxa"/>
              <w:left w:w="0.0" w:type="dxa"/>
              <w:bottom w:w="0.0" w:type="dxa"/>
              <w:right w:w="0.0" w:type="dxa"/>
            </w:tcMar>
            <w:vAlign w:val="center"/>
          </w:tcPr>
          <w:p w:rsidR="00000000" w:rsidDel="00000000" w:rsidP="00000000" w:rsidRDefault="00000000" w:rsidRPr="00000000" w14:paraId="00000028">
            <w:pPr>
              <w:pageBreakBefore w:val="0"/>
              <w:spacing w:line="240" w:lineRule="auto"/>
              <w:jc w:val="center"/>
              <w:rPr/>
            </w:pPr>
            <w:r w:rsidDel="00000000" w:rsidR="00000000" w:rsidRPr="00000000">
              <w:rPr>
                <w:rtl w:val="0"/>
              </w:rPr>
              <w:t xml:space="preserve">muži (-ovi)</w:t>
            </w:r>
          </w:p>
        </w:tc>
        <w:tc>
          <w:tcPr>
            <w:shd w:fill="ffffff" w:val="clear"/>
            <w:tcMar>
              <w:top w:w="0.0" w:type="dxa"/>
              <w:left w:w="0.0" w:type="dxa"/>
              <w:bottom w:w="0.0" w:type="dxa"/>
              <w:right w:w="0.0" w:type="dxa"/>
            </w:tcMar>
            <w:vAlign w:val="center"/>
          </w:tcPr>
          <w:p w:rsidR="00000000" w:rsidDel="00000000" w:rsidP="00000000" w:rsidRDefault="00000000" w:rsidRPr="00000000" w14:paraId="00000029">
            <w:pPr>
              <w:pageBreakBefore w:val="0"/>
              <w:spacing w:line="240" w:lineRule="auto"/>
              <w:jc w:val="center"/>
              <w:rPr/>
            </w:pPr>
            <w:r w:rsidDel="00000000" w:rsidR="00000000" w:rsidRPr="00000000">
              <w:rPr>
                <w:rtl w:val="0"/>
              </w:rPr>
              <w:t xml:space="preserve">počítači</w:t>
            </w:r>
          </w:p>
        </w:tc>
        <w:tc>
          <w:tcPr>
            <w:shd w:fill="ffffff" w:val="clear"/>
            <w:tcMar>
              <w:top w:w="0.0" w:type="dxa"/>
              <w:left w:w="0.0" w:type="dxa"/>
              <w:bottom w:w="0.0" w:type="dxa"/>
              <w:right w:w="0.0" w:type="dxa"/>
            </w:tcMar>
            <w:vAlign w:val="center"/>
          </w:tcPr>
          <w:p w:rsidR="00000000" w:rsidDel="00000000" w:rsidP="00000000" w:rsidRDefault="00000000" w:rsidRPr="00000000" w14:paraId="0000002A">
            <w:pPr>
              <w:pageBreakBefore w:val="0"/>
              <w:spacing w:line="240" w:lineRule="auto"/>
              <w:jc w:val="center"/>
              <w:rPr/>
            </w:pPr>
            <w:r w:rsidDel="00000000" w:rsidR="00000000" w:rsidRPr="00000000">
              <w:rPr>
                <w:rtl w:val="0"/>
              </w:rPr>
              <w:t xml:space="preserve">růži / koleji / věci</w:t>
            </w:r>
          </w:p>
        </w:tc>
        <w:tc>
          <w:tcPr>
            <w:shd w:fill="ffffff" w:val="clear"/>
            <w:tcMar>
              <w:top w:w="0.0" w:type="dxa"/>
              <w:left w:w="0.0" w:type="dxa"/>
              <w:bottom w:w="0.0" w:type="dxa"/>
              <w:right w:w="0.0" w:type="dxa"/>
            </w:tcMar>
            <w:vAlign w:val="center"/>
          </w:tcPr>
          <w:p w:rsidR="00000000" w:rsidDel="00000000" w:rsidP="00000000" w:rsidRDefault="00000000" w:rsidRPr="00000000" w14:paraId="0000002B">
            <w:pPr>
              <w:pageBreakBefore w:val="0"/>
              <w:spacing w:line="240" w:lineRule="auto"/>
              <w:jc w:val="center"/>
              <w:rPr/>
            </w:pPr>
            <w:r w:rsidDel="00000000" w:rsidR="00000000" w:rsidRPr="00000000">
              <w:rPr>
                <w:rtl w:val="0"/>
              </w:rPr>
              <w:t xml:space="preserve">moři / náměstí</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2C">
            <w:pPr>
              <w:pageBreakBefore w:val="0"/>
              <w:spacing w:line="240" w:lineRule="auto"/>
              <w:jc w:val="center"/>
              <w:rPr>
                <w:b w:val="1"/>
              </w:rPr>
            </w:pPr>
            <w:r w:rsidDel="00000000" w:rsidR="00000000" w:rsidRPr="00000000">
              <w:rPr>
                <w:b w:val="1"/>
                <w:rtl w:val="0"/>
              </w:rPr>
              <w:t xml:space="preserve">Adjectives</w:t>
            </w:r>
          </w:p>
        </w:tc>
        <w:tc>
          <w:tcPr>
            <w:shd w:fill="ffffff" w:val="clear"/>
            <w:tcMar>
              <w:top w:w="0.0" w:type="dxa"/>
              <w:left w:w="0.0" w:type="dxa"/>
              <w:bottom w:w="0.0" w:type="dxa"/>
              <w:right w:w="0.0" w:type="dxa"/>
            </w:tcMar>
            <w:vAlign w:val="center"/>
          </w:tcPr>
          <w:p w:rsidR="00000000" w:rsidDel="00000000" w:rsidP="00000000" w:rsidRDefault="00000000" w:rsidRPr="00000000" w14:paraId="0000002D">
            <w:pPr>
              <w:pageBreakBefore w:val="0"/>
              <w:spacing w:line="240" w:lineRule="auto"/>
              <w:jc w:val="center"/>
              <w:rPr/>
            </w:pPr>
            <w:r w:rsidDel="00000000" w:rsidR="00000000" w:rsidRPr="00000000">
              <w:rPr>
                <w:rtl w:val="0"/>
              </w:rPr>
              <w:t xml:space="preserve">-ému / -ímu</w:t>
            </w:r>
          </w:p>
        </w:tc>
        <w:tc>
          <w:tcPr>
            <w:shd w:fill="ffffff" w:val="clear"/>
            <w:tcMar>
              <w:top w:w="0.0" w:type="dxa"/>
              <w:left w:w="0.0" w:type="dxa"/>
              <w:bottom w:w="0.0" w:type="dxa"/>
              <w:right w:w="0.0" w:type="dxa"/>
            </w:tcMar>
            <w:vAlign w:val="center"/>
          </w:tcPr>
          <w:p w:rsidR="00000000" w:rsidDel="00000000" w:rsidP="00000000" w:rsidRDefault="00000000" w:rsidRPr="00000000" w14:paraId="0000002E">
            <w:pPr>
              <w:pageBreakBefore w:val="0"/>
              <w:spacing w:line="240" w:lineRule="auto"/>
              <w:jc w:val="center"/>
              <w:rPr/>
            </w:pPr>
            <w:r w:rsidDel="00000000" w:rsidR="00000000" w:rsidRPr="00000000">
              <w:rPr>
                <w:rtl w:val="0"/>
              </w:rPr>
              <w:t xml:space="preserve">-ému / -ímu</w:t>
            </w:r>
          </w:p>
        </w:tc>
        <w:tc>
          <w:tcPr>
            <w:shd w:fill="ffffff" w:val="clear"/>
            <w:tcMar>
              <w:top w:w="0.0" w:type="dxa"/>
              <w:left w:w="0.0" w:type="dxa"/>
              <w:bottom w:w="0.0" w:type="dxa"/>
              <w:right w:w="0.0" w:type="dxa"/>
            </w:tcMar>
            <w:vAlign w:val="center"/>
          </w:tcPr>
          <w:p w:rsidR="00000000" w:rsidDel="00000000" w:rsidP="00000000" w:rsidRDefault="00000000" w:rsidRPr="00000000" w14:paraId="0000002F">
            <w:pPr>
              <w:pageBreakBefore w:val="0"/>
              <w:spacing w:line="240" w:lineRule="auto"/>
              <w:jc w:val="center"/>
              <w:rPr/>
            </w:pPr>
            <w:r w:rsidDel="00000000" w:rsidR="00000000" w:rsidRPr="00000000">
              <w:rPr>
                <w:rtl w:val="0"/>
              </w:rPr>
              <w:t xml:space="preserve">-é / -í</w:t>
            </w:r>
          </w:p>
        </w:tc>
        <w:tc>
          <w:tcPr>
            <w:shd w:fill="ffffff" w:val="clear"/>
            <w:tcMar>
              <w:top w:w="0.0" w:type="dxa"/>
              <w:left w:w="0.0" w:type="dxa"/>
              <w:bottom w:w="0.0" w:type="dxa"/>
              <w:right w:w="0.0" w:type="dxa"/>
            </w:tcMar>
            <w:vAlign w:val="center"/>
          </w:tcPr>
          <w:p w:rsidR="00000000" w:rsidDel="00000000" w:rsidP="00000000" w:rsidRDefault="00000000" w:rsidRPr="00000000" w14:paraId="00000030">
            <w:pPr>
              <w:pageBreakBefore w:val="0"/>
              <w:spacing w:line="240" w:lineRule="auto"/>
              <w:jc w:val="center"/>
              <w:rPr/>
            </w:pPr>
            <w:r w:rsidDel="00000000" w:rsidR="00000000" w:rsidRPr="00000000">
              <w:rPr>
                <w:rtl w:val="0"/>
              </w:rPr>
              <w:t xml:space="preserve">-ému / -ímu</w:t>
            </w:r>
          </w:p>
        </w:tc>
      </w:tr>
    </w:tbl>
    <w:p w:rsidR="00000000" w:rsidDel="00000000" w:rsidP="00000000" w:rsidRDefault="00000000" w:rsidRPr="00000000" w14:paraId="00000031">
      <w:pPr>
        <w:pageBreakBefore w:val="0"/>
        <w:spacing w:line="240" w:lineRule="auto"/>
        <w:rPr>
          <w:b w:val="1"/>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 xml:space="preserve">Images used in this document come from </w:t>
      </w:r>
      <w:hyperlink r:id="rId14">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34">
      <w:pPr>
        <w:pageBreakBefore w:val="0"/>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pixabay.com/en/people-guy-mobile-phone-texting-2585498/" TargetMode="External"/><Relationship Id="rId13" Type="http://schemas.openxmlformats.org/officeDocument/2006/relationships/image" Target="media/image3.png"/><Relationship Id="rId12" Type="http://schemas.openxmlformats.org/officeDocument/2006/relationships/hyperlink" Target="https://www.pexels.com/photo/closeup-portrait-of-young-lady-talking-on-mobile-phone-638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yperlink" Target="https://docs.google.com/document/d/14tCPdHe1gK5tCShdXGDvySqLB4oCcHbBVnYk_bzwABI/edit#heading=h.eixpi7ridk55" TargetMode="External"/><Relationship Id="rId5" Type="http://schemas.openxmlformats.org/officeDocument/2006/relationships/styles" Target="styles.xml"/><Relationship Id="rId6" Type="http://schemas.openxmlformats.org/officeDocument/2006/relationships/hyperlink" Target="https://pxhere.com/en/photo/968493" TargetMode="External"/><Relationship Id="rId7" Type="http://schemas.openxmlformats.org/officeDocument/2006/relationships/image" Target="media/image2.png"/><Relationship Id="rId8" Type="http://schemas.openxmlformats.org/officeDocument/2006/relationships/hyperlink" Target="https://pxhere.com/en/photo/10526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