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ageBreakBefore w:val="0"/>
        <w:rPr/>
      </w:pPr>
      <w:bookmarkStart w:colFirst="0" w:colLast="0" w:name="_yxv1wltvsf7t" w:id="0"/>
      <w:bookmarkEnd w:id="0"/>
      <w:r w:rsidDel="00000000" w:rsidR="00000000" w:rsidRPr="00000000">
        <w:rPr>
          <w:rtl w:val="0"/>
        </w:rPr>
        <w:t xml:space="preserve">9.4 - Stating the Year </w:t>
      </w:r>
    </w:p>
    <w:p w:rsidR="00000000" w:rsidDel="00000000" w:rsidP="00000000" w:rsidRDefault="00000000" w:rsidRPr="00000000" w14:paraId="00000002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784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780"/>
        <w:gridCol w:w="4065"/>
        <w:tblGridChange w:id="0">
          <w:tblGrid>
            <w:gridCol w:w="3780"/>
            <w:gridCol w:w="406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Let’s start with the word for year - </w:t>
            </w:r>
            <w:r w:rsidDel="00000000" w:rsidR="00000000" w:rsidRPr="00000000">
              <w:rPr>
                <w:i w:val="1"/>
                <w:rtl w:val="0"/>
              </w:rPr>
              <w:t xml:space="preserve">rok</w:t>
            </w:r>
            <w:r w:rsidDel="00000000" w:rsidR="00000000" w:rsidRPr="00000000">
              <w:rPr>
                <w:rtl w:val="0"/>
              </w:rPr>
              <w:t xml:space="preserve">. We’re going to want to say ‘in the year…’</w:t>
            </w:r>
          </w:p>
          <w:p w:rsidR="00000000" w:rsidDel="00000000" w:rsidP="00000000" w:rsidRDefault="00000000" w:rsidRPr="00000000" w14:paraId="00000004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To do this, we say </w:t>
            </w:r>
            <w:r w:rsidDel="00000000" w:rsidR="00000000" w:rsidRPr="00000000">
              <w:rPr>
                <w:i w:val="1"/>
                <w:rtl w:val="0"/>
              </w:rPr>
              <w:t xml:space="preserve">v roce</w:t>
            </w:r>
            <w:r w:rsidDel="00000000" w:rsidR="00000000" w:rsidRPr="00000000">
              <w:rPr>
                <w:rtl w:val="0"/>
              </w:rPr>
              <w:t xml:space="preserve">…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pageBreakBefore w:val="0"/>
              <w:ind w:firstLine="0"/>
              <w:jc w:val="center"/>
              <w:rPr/>
            </w:pPr>
            <w:hyperlink r:id="rId6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252538" cy="1604814"/>
                    <wp:effectExtent b="0" l="0" r="0" t="0"/>
                    <wp:docPr id="1" name="image1.png"/>
                    <a:graphic>
                      <a:graphicData uri="http://schemas.openxmlformats.org/drawingml/2006/picture">
                        <pic:pic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52538" cy="1604814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rPr/>
      </w:pPr>
      <w:r w:rsidDel="00000000" w:rsidR="00000000" w:rsidRPr="00000000">
        <w:rPr>
          <w:rtl w:val="0"/>
        </w:rPr>
        <w:t xml:space="preserve">At this point ,we need to remember our numbers, so if you haven’t done so already,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review your numbers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rPr/>
      </w:pPr>
      <w:r w:rsidDel="00000000" w:rsidR="00000000" w:rsidRPr="00000000">
        <w:rPr>
          <w:rtl w:val="0"/>
        </w:rPr>
        <w:t xml:space="preserve">Now, that list only got us to a 1000, but we need to say things like 1998 or 2014. Not a problem… They actually state the date pretty similarly to English, so it is literally </w:t>
      </w:r>
      <w:r w:rsidDel="00000000" w:rsidR="00000000" w:rsidRPr="00000000">
        <w:rPr>
          <w:i w:val="1"/>
          <w:rtl w:val="0"/>
        </w:rPr>
        <w:t xml:space="preserve">nineteen (hundred) ninety eight</w:t>
      </w:r>
      <w:r w:rsidDel="00000000" w:rsidR="00000000" w:rsidRPr="00000000">
        <w:rPr>
          <w:rtl w:val="0"/>
        </w:rPr>
        <w:t xml:space="preserve"> or </w:t>
      </w:r>
      <w:r w:rsidDel="00000000" w:rsidR="00000000" w:rsidRPr="00000000">
        <w:rPr>
          <w:i w:val="1"/>
          <w:rtl w:val="0"/>
        </w:rPr>
        <w:t xml:space="preserve">two thousand fourteen</w:t>
      </w:r>
      <w:r w:rsidDel="00000000" w:rsidR="00000000" w:rsidRPr="00000000">
        <w:rPr>
          <w:rtl w:val="0"/>
        </w:rPr>
        <w:t xml:space="preserve">. Let’s start with years before the 2000s. Here we’ll need the form </w:t>
      </w:r>
      <w:r w:rsidDel="00000000" w:rsidR="00000000" w:rsidRPr="00000000">
        <w:rPr>
          <w:i w:val="1"/>
          <w:rtl w:val="0"/>
        </w:rPr>
        <w:t xml:space="preserve">set</w:t>
      </w:r>
      <w:r w:rsidDel="00000000" w:rsidR="00000000" w:rsidRPr="00000000">
        <w:rPr>
          <w:rtl w:val="0"/>
        </w:rPr>
        <w:t xml:space="preserve">, which is the form of </w:t>
      </w:r>
      <w:r w:rsidDel="00000000" w:rsidR="00000000" w:rsidRPr="00000000">
        <w:rPr>
          <w:i w:val="1"/>
          <w:rtl w:val="0"/>
        </w:rPr>
        <w:t xml:space="preserve">sto</w:t>
      </w:r>
      <w:r w:rsidDel="00000000" w:rsidR="00000000" w:rsidRPr="00000000">
        <w:rPr>
          <w:rtl w:val="0"/>
        </w:rPr>
        <w:t xml:space="preserve"> that occurs once you get to 500 and above (hint, it’s actually the genitive plural of </w:t>
      </w:r>
      <w:r w:rsidDel="00000000" w:rsidR="00000000" w:rsidRPr="00000000">
        <w:rPr>
          <w:i w:val="1"/>
          <w:rtl w:val="0"/>
        </w:rPr>
        <w:t xml:space="preserve">sto</w:t>
      </w:r>
      <w:r w:rsidDel="00000000" w:rsidR="00000000" w:rsidRPr="00000000">
        <w:rPr>
          <w:rtl w:val="0"/>
        </w:rPr>
        <w:t xml:space="preserve"> and is just following the number rule that 5+ is followed by the genitive plural. The </w:t>
      </w:r>
      <w:r w:rsidDel="00000000" w:rsidR="00000000" w:rsidRPr="00000000">
        <w:rPr>
          <w:i w:val="1"/>
          <w:rtl w:val="0"/>
        </w:rPr>
        <w:t xml:space="preserve">e</w:t>
      </w:r>
      <w:r w:rsidDel="00000000" w:rsidR="00000000" w:rsidRPr="00000000">
        <w:rPr>
          <w:rtl w:val="0"/>
        </w:rPr>
        <w:t xml:space="preserve"> in </w:t>
      </w:r>
      <w:r w:rsidDel="00000000" w:rsidR="00000000" w:rsidRPr="00000000">
        <w:rPr>
          <w:i w:val="1"/>
          <w:rtl w:val="0"/>
        </w:rPr>
        <w:t xml:space="preserve">s</w:t>
      </w:r>
      <w:r w:rsidDel="00000000" w:rsidR="00000000" w:rsidRPr="00000000">
        <w:rPr>
          <w:i w:val="1"/>
          <w:u w:val="single"/>
          <w:rtl w:val="0"/>
        </w:rPr>
        <w:t xml:space="preserve">e</w:t>
      </w:r>
      <w:r w:rsidDel="00000000" w:rsidR="00000000" w:rsidRPr="00000000">
        <w:rPr>
          <w:i w:val="1"/>
          <w:rtl w:val="0"/>
        </w:rPr>
        <w:t xml:space="preserve">t</w:t>
      </w:r>
      <w:r w:rsidDel="00000000" w:rsidR="00000000" w:rsidRPr="00000000">
        <w:rPr>
          <w:rtl w:val="0"/>
        </w:rPr>
        <w:t xml:space="preserve"> is just a fill vowel). So let’s see some examples in action:</w:t>
      </w:r>
    </w:p>
    <w:p w:rsidR="00000000" w:rsidDel="00000000" w:rsidP="00000000" w:rsidRDefault="00000000" w:rsidRPr="00000000" w14:paraId="0000000B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8640.0" w:type="dxa"/>
        <w:jc w:val="left"/>
        <w:tblInd w:w="720.0" w:type="dxa"/>
        <w:tblLayout w:type="fixed"/>
        <w:tblLook w:val="0600"/>
      </w:tblPr>
      <w:tblGrid>
        <w:gridCol w:w="5115"/>
        <w:gridCol w:w="3525"/>
        <w:tblGridChange w:id="0">
          <w:tblGrid>
            <w:gridCol w:w="5115"/>
            <w:gridCol w:w="352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V roce osmnáct set padesát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In the year 1850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V roce devatenáct set osmdesát jedna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In the year 1981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V roce devatenáct set devadesát devět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In the year 1999</w:t>
            </w:r>
          </w:p>
        </w:tc>
      </w:tr>
    </w:tbl>
    <w:p w:rsidR="00000000" w:rsidDel="00000000" w:rsidP="00000000" w:rsidRDefault="00000000" w:rsidRPr="00000000" w14:paraId="0000001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rPr/>
      </w:pPr>
      <w:r w:rsidDel="00000000" w:rsidR="00000000" w:rsidRPr="00000000">
        <w:rPr>
          <w:rtl w:val="0"/>
        </w:rPr>
        <w:t xml:space="preserve">If it’s a year in the 2000s, then it goes as follows:</w:t>
      </w:r>
    </w:p>
    <w:p w:rsidR="00000000" w:rsidDel="00000000" w:rsidP="00000000" w:rsidRDefault="00000000" w:rsidRPr="00000000" w14:paraId="00000014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8640.0" w:type="dxa"/>
        <w:jc w:val="left"/>
        <w:tblInd w:w="720.0" w:type="dxa"/>
        <w:tblLayout w:type="fixed"/>
        <w:tblLook w:val="0600"/>
      </w:tblPr>
      <w:tblGrid>
        <w:gridCol w:w="5115"/>
        <w:gridCol w:w="3525"/>
        <w:tblGridChange w:id="0">
          <w:tblGrid>
            <w:gridCol w:w="5115"/>
            <w:gridCol w:w="352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pageBreakBefore w:val="0"/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V roce dva tisíce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In the year 2000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pageBreakBefore w:val="0"/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V roce dva tisíce osmnáct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In the year 2018</w:t>
            </w:r>
          </w:p>
        </w:tc>
      </w:tr>
    </w:tbl>
    <w:p w:rsidR="00000000" w:rsidDel="00000000" w:rsidP="00000000" w:rsidRDefault="00000000" w:rsidRPr="00000000" w14:paraId="0000001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rPr/>
      </w:pPr>
      <w:r w:rsidDel="00000000" w:rsidR="00000000" w:rsidRPr="00000000">
        <w:rPr>
          <w:rtl w:val="0"/>
        </w:rPr>
        <w:t xml:space="preserve">Images used in this document come from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rtl w:val="0"/>
        </w:rPr>
        <w:t xml:space="preserve">.</w:t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docs.google.com/document/d/14tCPdHe1gK5tCShdXGDvySqLB4oCcHbBVnYk_bzwABI/edit#heading=h.bsot93n95bh7" TargetMode="External"/><Relationship Id="rId5" Type="http://schemas.openxmlformats.org/officeDocument/2006/relationships/styles" Target="styles.xml"/><Relationship Id="rId6" Type="http://schemas.openxmlformats.org/officeDocument/2006/relationships/hyperlink" Target="http://www.publicdomainpictures.net/view-image.php?image=81027&amp;picture=new-year-clip-art" TargetMode="External"/><Relationship Id="rId7" Type="http://schemas.openxmlformats.org/officeDocument/2006/relationships/image" Target="media/image1.png"/><Relationship Id="rId8" Type="http://schemas.openxmlformats.org/officeDocument/2006/relationships/hyperlink" Target="https://docs.google.com/document/d/e/2PACX-1vTnyGh96eBTLq3K2iS0tbcX20v_vieV-wYBiYdpLvNdG8Q2i_kCbHMYyUUaO1fwC8yiv_LAHNEreJH2/pub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