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Mikuláš: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Teď zrovna studuju tady, v Austinu, na McCombs. Jinak zpátky v Praze studuju bankovnictví na Vysoký (Vysoké) škole ekonomický (ekonomické) a jsem na magisterským (magisterském) studiu.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zrovna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just now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McCombs na Texaské Univerzitě v Austinu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jinak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otherwise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bankovnictví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banking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zpátky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back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Studuji v Praze, mezinárodní obchod. Už jsem ukončila vlastně bakalářský (bakalářské) studium a teď pokračuju na magistrovi. A tady v Austinu studuju teďka marketing.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mezinárodní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international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ukončit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finish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vlastně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actually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pokračovat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continue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magister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master’s degree/program. It is masculine animate, so locative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-ovi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ending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Ano, studuju. - Dobře. A kde studuješ? - Studuju gymnázium, studuju na gymnáziu.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gynázium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high school (college prep)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Studuju zdravotnickou školu. - Střední školu. - Střední zdravotnickou školu. - Příští rok budu maturovat. - Jo. - Sorry. - Příští rok budu maturovat.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zdravotnická škola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medical, health school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maturovat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graduate from high school;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budu maturovat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will graduate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příští rok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next year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Studuju v Praze na Vysoké škole ekonomické. Studuju bankovnictví.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bankovnictví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banking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Studovala. - A kde? - Studovala jsem nejdříve rok v Opavě, historii, muzeologii. Pak jsem studovala v Plzni knižní kulturu.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muzeologie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museum studies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knižní kultura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library and publishing studies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n.wikipedia.org/wiki/McCombs_School_of_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