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buv0y4bfs9qe" w:id="0"/>
      <w:bookmarkEnd w:id="0"/>
      <w:r w:rsidDel="00000000" w:rsidR="00000000" w:rsidRPr="00000000">
        <w:rPr>
          <w:rtl w:val="0"/>
        </w:rPr>
        <w:t xml:space="preserve">10 </w:t>
      </w:r>
      <w:r w:rsidDel="00000000" w:rsidR="00000000" w:rsidRPr="00000000">
        <w:rPr>
          <w:color w:val="6c6d6d"/>
          <w:rtl w:val="0"/>
        </w:rPr>
        <w:t xml:space="preserve">|</w:t>
      </w:r>
      <w:r w:rsidDel="00000000" w:rsidR="00000000" w:rsidRPr="00000000">
        <w:rPr>
          <w:rtl w:val="0"/>
        </w:rPr>
        <w:t xml:space="preserve"> 1 </w:t>
      </w:r>
      <w:r w:rsidDel="00000000" w:rsidR="00000000" w:rsidRPr="00000000">
        <w:rPr>
          <w:color w:val="6c6d6d"/>
          <w:rtl w:val="0"/>
        </w:rPr>
        <w:t xml:space="preserve">|</w:t>
      </w:r>
      <w:r w:rsidDel="00000000" w:rsidR="00000000" w:rsidRPr="00000000">
        <w:rPr>
          <w:rtl w:val="0"/>
        </w:rPr>
        <w:t xml:space="preserve"> Lekcija 2: Poklon za rođendan</w:t>
      </w:r>
    </w:p>
    <w:p w:rsidR="00000000" w:rsidDel="00000000" w:rsidP="00000000" w:rsidRDefault="00000000" w:rsidRPr="00000000" w14:paraId="00000002">
      <w:pPr>
        <w:pStyle w:val="Heading1"/>
        <w:rPr/>
      </w:pPr>
      <w:bookmarkStart w:colFirst="0" w:colLast="0" w:name="_kxmtapd0dcvf" w:id="1"/>
      <w:bookmarkEnd w:id="1"/>
      <w:r w:rsidDel="00000000" w:rsidR="00000000" w:rsidRPr="00000000">
        <w:rPr>
          <w:color w:val="6c6d6d"/>
          <w:rtl w:val="0"/>
        </w:rPr>
        <w:t xml:space="preserve">|</w:t>
      </w:r>
      <w:r w:rsidDel="00000000" w:rsidR="00000000" w:rsidRPr="00000000">
        <w:rPr>
          <w:rtl w:val="0"/>
        </w:rPr>
        <w:t xml:space="preserve"> Savezne Države SAD-a</w:t>
      </w:r>
    </w:p>
    <w:p w:rsidR="00000000" w:rsidDel="00000000" w:rsidP="00000000" w:rsidRDefault="00000000" w:rsidRPr="00000000" w14:paraId="00000003">
      <w:pPr>
        <w:rPr/>
      </w:pPr>
      <w:r w:rsidDel="00000000" w:rsidR="00000000" w:rsidRPr="00000000">
        <w:rPr>
          <w:rtl w:val="0"/>
        </w:rPr>
        <w:t xml:space="preserve">Look at the map to learn the names of the 50 states in Croatian. As you can see, some of them will keep their English forms (Missouri, Utah, Washington, Pennsylvania, etc.), while others will be adjusted to the Croatian writing system (Taksas, Havaji, Južna Karolina, Sjeverna Karolina, Novi Meksiko, etc.). </w:t>
      </w:r>
    </w:p>
    <w:p w:rsidR="00000000" w:rsidDel="00000000" w:rsidP="00000000" w:rsidRDefault="00000000" w:rsidRPr="00000000" w14:paraId="00000004">
      <w:pPr>
        <w:rPr/>
      </w:pPr>
      <w:hyperlink r:id="rId6">
        <w:r w:rsidDel="00000000" w:rsidR="00000000" w:rsidRPr="00000000">
          <w:rPr>
            <w:color w:val="1155cc"/>
            <w:u w:val="single"/>
          </w:rPr>
          <w:drawing>
            <wp:inline distB="114300" distT="114300" distL="114300" distR="114300">
              <wp:extent cx="5943600" cy="36703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36703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5">
      <w:pPr>
        <w:pStyle w:val="Heading1"/>
        <w:rPr/>
      </w:pPr>
      <w:bookmarkStart w:colFirst="0" w:colLast="0" w:name="_mxd59qtlg0zo" w:id="2"/>
      <w:bookmarkEnd w:id="2"/>
      <w:r w:rsidDel="00000000" w:rsidR="00000000" w:rsidRPr="00000000">
        <w:rPr>
          <w:color w:val="6c6d6d"/>
          <w:rtl w:val="0"/>
        </w:rPr>
        <w:t xml:space="preserve">|</w:t>
      </w:r>
      <w:r w:rsidDel="00000000" w:rsidR="00000000" w:rsidRPr="00000000">
        <w:rPr>
          <w:rtl w:val="0"/>
        </w:rPr>
        <w:t xml:space="preserve"> Zemlje u Europi</w:t>
      </w:r>
    </w:p>
    <w:p w:rsidR="00000000" w:rsidDel="00000000" w:rsidP="00000000" w:rsidRDefault="00000000" w:rsidRPr="00000000" w14:paraId="00000006">
      <w:pPr>
        <w:rPr/>
      </w:pPr>
      <w:r w:rsidDel="00000000" w:rsidR="00000000" w:rsidRPr="00000000">
        <w:rPr>
          <w:rtl w:val="0"/>
        </w:rPr>
        <w:t xml:space="preserve">Look at the map to get familiar with the countries that are (potentially) the most relevant for you and possible conversations you might have with your classmates. </w:t>
      </w:r>
    </w:p>
    <w:p w:rsidR="00000000" w:rsidDel="00000000" w:rsidP="00000000" w:rsidRDefault="00000000" w:rsidRPr="00000000" w14:paraId="00000007">
      <w:pPr>
        <w:rPr/>
      </w:pPr>
      <w:hyperlink r:id="rId8">
        <w:r w:rsidDel="00000000" w:rsidR="00000000" w:rsidRPr="00000000">
          <w:rPr>
            <w:color w:val="1155cc"/>
            <w:u w:val="single"/>
          </w:rPr>
          <w:drawing>
            <wp:inline distB="114300" distT="114300" distL="114300" distR="114300">
              <wp:extent cx="5943600" cy="483870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48387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8">
      <w:pPr>
        <w:pStyle w:val="Heading1"/>
        <w:rPr/>
      </w:pPr>
      <w:bookmarkStart w:colFirst="0" w:colLast="0" w:name="_qqya7vkldnq5" w:id="3"/>
      <w:bookmarkEnd w:id="3"/>
      <w:r w:rsidDel="00000000" w:rsidR="00000000" w:rsidRPr="00000000">
        <w:rPr>
          <w:color w:val="6c6d6d"/>
          <w:rtl w:val="0"/>
        </w:rPr>
        <w:t xml:space="preserve">|</w:t>
      </w:r>
      <w:r w:rsidDel="00000000" w:rsidR="00000000" w:rsidRPr="00000000">
        <w:rPr>
          <w:rtl w:val="0"/>
        </w:rPr>
        <w:t xml:space="preserve"> Izreke</w:t>
      </w:r>
    </w:p>
    <w:p w:rsidR="00000000" w:rsidDel="00000000" w:rsidP="00000000" w:rsidRDefault="00000000" w:rsidRPr="00000000" w14:paraId="00000009">
      <w:pPr>
        <w:rPr/>
      </w:pPr>
      <w:r w:rsidDel="00000000" w:rsidR="00000000" w:rsidRPr="00000000">
        <w:rPr>
          <w:rtl w:val="0"/>
        </w:rPr>
        <w:t xml:space="preserve">Phrases that you have encountered in today's lesson. You can often hear these when people talk to their close friends or relatives.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rPr>
                <w:b w:val="1"/>
              </w:rPr>
            </w:pPr>
            <w:r w:rsidDel="00000000" w:rsidR="00000000" w:rsidRPr="00000000">
              <w:rPr>
                <w:b w:val="1"/>
                <w:color w:val="6c6d6d"/>
                <w:rtl w:val="0"/>
              </w:rPr>
              <w:t xml:space="preserve">|</w:t>
            </w:r>
            <w:r w:rsidDel="00000000" w:rsidR="00000000" w:rsidRPr="00000000">
              <w:rPr>
                <w:b w:val="1"/>
                <w:rtl w:val="0"/>
              </w:rPr>
              <w:t xml:space="preserve"> Svakodnevni govor</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b w:val="1"/>
              </w:rPr>
            </w:pPr>
            <w:r w:rsidDel="00000000" w:rsidR="00000000" w:rsidRPr="00000000">
              <w:rPr>
                <w:b w:val="1"/>
                <w:rtl w:val="0"/>
              </w:rPr>
              <w:t xml:space="preserve">Rečenice iz dijaloga</w:t>
            </w:r>
          </w:p>
        </w:tc>
      </w:tr>
      <w:tr>
        <w:trPr>
          <w:cantSplit w:val="0"/>
          <w:tblHeader w:val="0"/>
        </w:trPr>
        <w:tc>
          <w:tcPr>
            <w:tcBorders>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C">
            <w:pPr>
              <w:spacing w:line="240" w:lineRule="auto"/>
              <w:rPr/>
            </w:pPr>
            <w:r w:rsidDel="00000000" w:rsidR="00000000" w:rsidRPr="00000000">
              <w:rPr>
                <w:rtl w:val="0"/>
              </w:rPr>
              <w:t xml:space="preserve">Biti </w:t>
            </w:r>
            <w:r w:rsidDel="00000000" w:rsidR="00000000" w:rsidRPr="00000000">
              <w:rPr>
                <w:rtl w:val="0"/>
              </w:rPr>
              <w:t xml:space="preserve">crven/-a</w:t>
            </w:r>
            <w:r w:rsidDel="00000000" w:rsidR="00000000" w:rsidRPr="00000000">
              <w:rPr>
                <w:rtl w:val="0"/>
              </w:rPr>
              <w:t xml:space="preserve"> kao rak. </w:t>
            </w:r>
          </w:p>
        </w:tc>
        <w:tc>
          <w:tcPr>
            <w:tcBorders>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D">
            <w:pPr>
              <w:spacing w:line="240" w:lineRule="auto"/>
              <w:rPr/>
            </w:pPr>
            <w:r w:rsidDel="00000000" w:rsidR="00000000" w:rsidRPr="00000000">
              <w:rPr>
                <w:rtl w:val="0"/>
              </w:rPr>
              <w:t xml:space="preserve">Ines je crvena kao rak.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r w:rsidDel="00000000" w:rsidR="00000000" w:rsidRPr="00000000">
              <w:rPr>
                <w:rtl w:val="0"/>
              </w:rPr>
              <w:t xml:space="preserve">Jezik brži od pameti.</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F">
            <w:pPr>
              <w:spacing w:line="240" w:lineRule="auto"/>
              <w:rPr/>
            </w:pPr>
            <w:r w:rsidDel="00000000" w:rsidR="00000000" w:rsidRPr="00000000">
              <w:rPr>
                <w:rtl w:val="0"/>
              </w:rPr>
              <w:t xml:space="preserve">Nekada ti je jezik brži od pameti.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r w:rsidDel="00000000" w:rsidR="00000000" w:rsidRPr="00000000">
              <w:rPr>
                <w:rtl w:val="0"/>
              </w:rPr>
              <w:t xml:space="preserve">Biti spor/-a k’o puž.</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1">
            <w:pPr>
              <w:spacing w:line="240" w:lineRule="auto"/>
              <w:rPr/>
            </w:pPr>
            <w:r w:rsidDel="00000000" w:rsidR="00000000" w:rsidRPr="00000000">
              <w:rPr>
                <w:rtl w:val="0"/>
              </w:rPr>
              <w:t xml:space="preserve">Matija je spora k’o puž.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Biti zmija.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spacing w:line="240" w:lineRule="auto"/>
              <w:rPr/>
            </w:pPr>
            <w:r w:rsidDel="00000000" w:rsidR="00000000" w:rsidRPr="00000000">
              <w:rPr>
                <w:rtl w:val="0"/>
              </w:rPr>
              <w:t xml:space="preserve">Marina je prava zmija.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r w:rsidDel="00000000" w:rsidR="00000000" w:rsidRPr="00000000">
              <w:rPr>
                <w:rtl w:val="0"/>
              </w:rPr>
              <w:t xml:space="preserve">Dobar kao kruh.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spacing w:line="240" w:lineRule="auto"/>
              <w:rPr/>
            </w:pPr>
            <w:r w:rsidDel="00000000" w:rsidR="00000000" w:rsidRPr="00000000">
              <w:rPr>
                <w:rtl w:val="0"/>
              </w:rPr>
              <w:t xml:space="preserve">On je dobar kao kruh.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r w:rsidDel="00000000" w:rsidR="00000000" w:rsidRPr="00000000">
              <w:rPr>
                <w:rtl w:val="0"/>
              </w:rPr>
              <w:t xml:space="preserve">Zelena grana.</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spacing w:line="240" w:lineRule="auto"/>
              <w:rPr/>
            </w:pPr>
            <w:r w:rsidDel="00000000" w:rsidR="00000000" w:rsidRPr="00000000">
              <w:rPr>
                <w:rtl w:val="0"/>
              </w:rPr>
              <w:t xml:space="preserve">Ti i ona nikako na zelenu granu. </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t xml:space="preserve">Jednim udarcem dvije muhe. </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spacing w:line="240" w:lineRule="auto"/>
              <w:rPr/>
            </w:pPr>
            <w:r w:rsidDel="00000000" w:rsidR="00000000" w:rsidRPr="00000000">
              <w:rPr>
                <w:rtl w:val="0"/>
              </w:rPr>
              <w:t xml:space="preserve">Meni se ideja sviđa. Jednim udarcem dvije muhe.</w:t>
            </w:r>
          </w:p>
        </w:tc>
      </w:tr>
      <w:tr>
        <w:trPr>
          <w:cantSplit w:val="0"/>
          <w:tblHeader w:val="0"/>
        </w:trPr>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r w:rsidDel="00000000" w:rsidR="00000000" w:rsidRPr="00000000">
              <w:rPr>
                <w:rtl w:val="0"/>
              </w:rPr>
              <w:t xml:space="preserve">Jezik za zube.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B">
            <w:pPr>
              <w:spacing w:line="240" w:lineRule="auto"/>
              <w:rPr/>
            </w:pPr>
            <w:r w:rsidDel="00000000" w:rsidR="00000000" w:rsidRPr="00000000">
              <w:rPr>
                <w:rtl w:val="0"/>
              </w:rPr>
              <w:t xml:space="preserve">Drži jezik za zubima, rekla sam ti. </w:t>
            </w:r>
          </w:p>
        </w:tc>
      </w:tr>
    </w:tbl>
    <w:p w:rsidR="00000000" w:rsidDel="00000000" w:rsidP="00000000" w:rsidRDefault="00000000" w:rsidRPr="00000000" w14:paraId="0000001C">
      <w:pPr>
        <w:pStyle w:val="Heading1"/>
        <w:rPr/>
      </w:pPr>
      <w:bookmarkStart w:colFirst="0" w:colLast="0" w:name="_e4k2u94yevfm" w:id="4"/>
      <w:bookmarkEnd w:id="4"/>
      <w:r w:rsidDel="00000000" w:rsidR="00000000" w:rsidRPr="00000000">
        <w:rPr>
          <w:color w:val="6c6d6d"/>
          <w:rtl w:val="0"/>
        </w:rPr>
        <w:t xml:space="preserve">|</w:t>
      </w:r>
      <w:r w:rsidDel="00000000" w:rsidR="00000000" w:rsidRPr="00000000">
        <w:rPr>
          <w:rtl w:val="0"/>
        </w:rPr>
        <w:t xml:space="preserve"> Glagoli</w:t>
      </w:r>
    </w:p>
    <w:p w:rsidR="00000000" w:rsidDel="00000000" w:rsidP="00000000" w:rsidRDefault="00000000" w:rsidRPr="00000000" w14:paraId="0000001D">
      <w:pPr>
        <w:rPr/>
      </w:pPr>
      <w:r w:rsidDel="00000000" w:rsidR="00000000" w:rsidRPr="00000000">
        <w:rPr>
          <w:rtl w:val="0"/>
        </w:rPr>
        <w:t xml:space="preserve">These are v</w:t>
      </w:r>
      <w:r w:rsidDel="00000000" w:rsidR="00000000" w:rsidRPr="00000000">
        <w:rPr>
          <w:rtl w:val="0"/>
        </w:rPr>
        <w:t xml:space="preserve">erbs that we encountered today. You encountered some of these in their perfective form and some in their imperfective form. Here, you can find a complete list (perfective and imperfective pairs), with the first person singular form given as well.</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3930"/>
        <w:gridCol w:w="3120"/>
        <w:tblGridChange w:id="0">
          <w:tblGrid>
            <w:gridCol w:w="2310"/>
            <w:gridCol w:w="3930"/>
            <w:gridCol w:w="3120"/>
          </w:tblGrid>
        </w:tblGridChange>
      </w:tblGrid>
      <w:tr>
        <w:trPr>
          <w:cantSplit w:val="0"/>
          <w:trHeight w:val="440" w:hRule="atLeast"/>
          <w:tblHeader w:val="0"/>
        </w:trPr>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pPr>
            <w:r w:rsidDel="00000000" w:rsidR="00000000" w:rsidRPr="00000000">
              <w:rPr>
                <w:rtl w:val="0"/>
              </w:rPr>
              <w:t xml:space="preserve"> English </w:t>
            </w:r>
          </w:p>
        </w:tc>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Perfective </w:t>
            </w:r>
          </w:p>
        </w:tc>
        <w:tc>
          <w:tcPr>
            <w:tcBorders>
              <w:top w:color="000000" w:space="0" w:sz="18" w:val="single"/>
              <w:left w:color="000000" w:space="0" w:sz="0" w:val="nil"/>
              <w:bottom w:color="000000" w:space="0" w:sz="18" w:val="single"/>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Imperfective</w:t>
            </w:r>
          </w:p>
        </w:tc>
      </w:tr>
      <w:tr>
        <w:trPr>
          <w:cantSplit w:val="0"/>
          <w:tblHeader w:val="0"/>
        </w:trPr>
        <w:tc>
          <w:tcPr>
            <w:tcBorders>
              <w:top w:color="000000" w:space="0" w:sz="18" w:val="single"/>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to travel </w:t>
            </w:r>
          </w:p>
        </w:tc>
        <w:tc>
          <w:tcPr>
            <w:tcBorders>
              <w:top w:color="000000" w:space="0" w:sz="18"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spacing w:line="240" w:lineRule="auto"/>
              <w:rPr/>
            </w:pPr>
            <w:r w:rsidDel="00000000" w:rsidR="00000000" w:rsidRPr="00000000">
              <w:rPr>
                <w:rtl w:val="0"/>
              </w:rPr>
              <w:t xml:space="preserve">otputovati (</w:t>
            </w:r>
            <w:r w:rsidDel="00000000" w:rsidR="00000000" w:rsidRPr="00000000">
              <w:rPr>
                <w:i w:val="1"/>
                <w:rtl w:val="0"/>
              </w:rPr>
              <w:t xml:space="preserve">ja otputujem</w:t>
            </w:r>
            <w:r w:rsidDel="00000000" w:rsidR="00000000" w:rsidRPr="00000000">
              <w:rPr>
                <w:rtl w:val="0"/>
              </w:rPr>
              <w:t xml:space="preserve">)</w:t>
            </w:r>
          </w:p>
        </w:tc>
        <w:tc>
          <w:tcPr>
            <w:tcBorders>
              <w:top w:color="000000" w:space="0" w:sz="18" w:val="single"/>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putovati (</w:t>
            </w:r>
            <w:r w:rsidDel="00000000" w:rsidR="00000000" w:rsidRPr="00000000">
              <w:rPr>
                <w:i w:val="1"/>
                <w:rtl w:val="0"/>
              </w:rPr>
              <w:t xml:space="preserve">ja putujem</w:t>
            </w:r>
            <w:r w:rsidDel="00000000" w:rsidR="00000000" w:rsidRPr="00000000">
              <w:rPr>
                <w:rtl w:val="0"/>
              </w:rPr>
              <w:t xml:space="preserve">)</w:t>
            </w:r>
          </w:p>
        </w:tc>
      </w:tr>
      <w:tr>
        <w:trPr>
          <w:cantSplit w:val="0"/>
          <w:trHeight w:val="420" w:hRule="atLeast"/>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rPr>
                <w:b w:val="1"/>
                <w:color w:val="ff0000"/>
              </w:rPr>
            </w:pPr>
            <w:r w:rsidDel="00000000" w:rsidR="00000000" w:rsidRPr="00000000">
              <w:rPr>
                <w:rtl w:val="0"/>
              </w:rPr>
              <w:t xml:space="preserve">to organize</w:t>
            </w:r>
            <w:r w:rsidDel="00000000" w:rsidR="00000000" w:rsidRPr="00000000">
              <w:rPr>
                <w:b w:val="1"/>
                <w:color w:val="ff0000"/>
                <w:rtl w:val="0"/>
              </w:rPr>
              <w:t xml:space="preserve">*</w:t>
            </w:r>
          </w:p>
        </w:tc>
        <w:tc>
          <w:tcPr>
            <w:gridSpan w:val="2"/>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b w:val="1"/>
                <w:color w:val="ff0000"/>
                <w:rtl w:val="0"/>
              </w:rPr>
              <w:t xml:space="preserve">*</w:t>
            </w:r>
            <w:r w:rsidDel="00000000" w:rsidR="00000000" w:rsidRPr="00000000">
              <w:rPr>
                <w:rtl w:val="0"/>
              </w:rPr>
              <w:t xml:space="preserve">organizirati (</w:t>
            </w:r>
            <w:r w:rsidDel="00000000" w:rsidR="00000000" w:rsidRPr="00000000">
              <w:rPr>
                <w:i w:val="1"/>
                <w:rtl w:val="0"/>
              </w:rPr>
              <w:t xml:space="preserve">ja organiziram</w:t>
            </w:r>
            <w:r w:rsidDel="00000000" w:rsidR="00000000" w:rsidRPr="00000000">
              <w:rPr>
                <w:rtl w:val="0"/>
              </w:rPr>
              <w:t xml:space="preserve">) – the same form for both aspects  </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pPr>
            <w:r w:rsidDel="00000000" w:rsidR="00000000" w:rsidRPr="00000000">
              <w:rPr>
                <w:rtl w:val="0"/>
              </w:rPr>
              <w:t xml:space="preserve">to choose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pPr>
            <w:r w:rsidDel="00000000" w:rsidR="00000000" w:rsidRPr="00000000">
              <w:rPr>
                <w:rtl w:val="0"/>
              </w:rPr>
              <w:t xml:space="preserve">odabrati (</w:t>
            </w:r>
            <w:r w:rsidDel="00000000" w:rsidR="00000000" w:rsidRPr="00000000">
              <w:rPr>
                <w:i w:val="1"/>
                <w:rtl w:val="0"/>
              </w:rPr>
              <w:t xml:space="preserve">ja odaberem</w:t>
            </w:r>
            <w:r w:rsidDel="00000000" w:rsidR="00000000" w:rsidRPr="00000000">
              <w:rPr>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t xml:space="preserve">odabirati (</w:t>
            </w:r>
            <w:r w:rsidDel="00000000" w:rsidR="00000000" w:rsidRPr="00000000">
              <w:rPr>
                <w:i w:val="1"/>
                <w:rtl w:val="0"/>
              </w:rPr>
              <w:t xml:space="preserve">ja odabirem</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to mention</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spomenuti (</w:t>
            </w:r>
            <w:r w:rsidDel="00000000" w:rsidR="00000000" w:rsidRPr="00000000">
              <w:rPr>
                <w:i w:val="1"/>
                <w:rtl w:val="0"/>
              </w:rPr>
              <w:t xml:space="preserve">ja spomenem</w:t>
            </w:r>
            <w:r w:rsidDel="00000000" w:rsidR="00000000" w:rsidRPr="00000000">
              <w:rPr>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spominjati (</w:t>
            </w:r>
            <w:r w:rsidDel="00000000" w:rsidR="00000000" w:rsidRPr="00000000">
              <w:rPr>
                <w:i w:val="1"/>
                <w:rtl w:val="0"/>
              </w:rPr>
              <w:t xml:space="preserve">ja spominjem</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to keep</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pridržati (</w:t>
            </w:r>
            <w:r w:rsidDel="00000000" w:rsidR="00000000" w:rsidRPr="00000000">
              <w:rPr>
                <w:i w:val="1"/>
                <w:rtl w:val="0"/>
              </w:rPr>
              <w:t xml:space="preserve">ja pridržim</w:t>
            </w:r>
            <w:r w:rsidDel="00000000" w:rsidR="00000000" w:rsidRPr="00000000">
              <w:rPr>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držati (</w:t>
            </w:r>
            <w:r w:rsidDel="00000000" w:rsidR="00000000" w:rsidRPr="00000000">
              <w:rPr>
                <w:i w:val="1"/>
                <w:rtl w:val="0"/>
              </w:rPr>
              <w:t xml:space="preserve">ja držim</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to worry</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pobrinuti se (</w:t>
            </w:r>
            <w:r w:rsidDel="00000000" w:rsidR="00000000" w:rsidRPr="00000000">
              <w:rPr>
                <w:i w:val="1"/>
                <w:rtl w:val="0"/>
              </w:rPr>
              <w:t xml:space="preserve">ja se pobrinem</w:t>
            </w:r>
            <w:r w:rsidDel="00000000" w:rsidR="00000000" w:rsidRPr="00000000">
              <w:rPr>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brinuti se (</w:t>
            </w:r>
            <w:r w:rsidDel="00000000" w:rsidR="00000000" w:rsidRPr="00000000">
              <w:rPr>
                <w:i w:val="1"/>
                <w:rtl w:val="0"/>
              </w:rPr>
              <w:t xml:space="preserve">ja se brinem</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to go / to start going</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poći (</w:t>
            </w:r>
            <w:r w:rsidDel="00000000" w:rsidR="00000000" w:rsidRPr="00000000">
              <w:rPr>
                <w:i w:val="1"/>
                <w:rtl w:val="0"/>
              </w:rPr>
              <w:t xml:space="preserve">ja pođem</w:t>
            </w:r>
            <w:r w:rsidDel="00000000" w:rsidR="00000000" w:rsidRPr="00000000">
              <w:rPr>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polaziti (</w:t>
            </w:r>
            <w:r w:rsidDel="00000000" w:rsidR="00000000" w:rsidRPr="00000000">
              <w:rPr>
                <w:i w:val="1"/>
                <w:rtl w:val="0"/>
              </w:rPr>
              <w:t xml:space="preserve">ja polazim</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to arrive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doći (</w:t>
            </w:r>
            <w:r w:rsidDel="00000000" w:rsidR="00000000" w:rsidRPr="00000000">
              <w:rPr>
                <w:i w:val="1"/>
                <w:rtl w:val="0"/>
              </w:rPr>
              <w:t xml:space="preserve">ja dođem</w:t>
            </w:r>
            <w:r w:rsidDel="00000000" w:rsidR="00000000" w:rsidRPr="00000000">
              <w:rPr>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dolaziti (</w:t>
            </w:r>
            <w:r w:rsidDel="00000000" w:rsidR="00000000" w:rsidRPr="00000000">
              <w:rPr>
                <w:i w:val="1"/>
                <w:rtl w:val="0"/>
              </w:rPr>
              <w:t xml:space="preserve">ja dolazim</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to find</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naći (</w:t>
            </w:r>
            <w:r w:rsidDel="00000000" w:rsidR="00000000" w:rsidRPr="00000000">
              <w:rPr>
                <w:i w:val="1"/>
                <w:rtl w:val="0"/>
              </w:rPr>
              <w:t xml:space="preserve">ja nađem</w:t>
            </w:r>
            <w:r w:rsidDel="00000000" w:rsidR="00000000" w:rsidRPr="00000000">
              <w:rPr>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nalaziti (</w:t>
            </w:r>
            <w:r w:rsidDel="00000000" w:rsidR="00000000" w:rsidRPr="00000000">
              <w:rPr>
                <w:i w:val="1"/>
                <w:rtl w:val="0"/>
              </w:rPr>
              <w:t xml:space="preserve">ja nalazim</w:t>
            </w:r>
            <w:r w:rsidDel="00000000" w:rsidR="00000000" w:rsidRPr="00000000">
              <w:rPr>
                <w:rtl w:val="0"/>
              </w:rPr>
              <w:t xml:space="preserve">)</w:t>
            </w:r>
          </w:p>
        </w:tc>
      </w:tr>
      <w:tr>
        <w:trPr>
          <w:cantSplit w:val="0"/>
          <w:tblHeader w:val="0"/>
        </w:trPr>
        <w:tc>
          <w:tcPr>
            <w:tcBorders>
              <w:top w:color="000000" w:space="0" w:sz="4" w:val="dotted"/>
              <w:left w:color="000000" w:space="0" w:sz="0" w:val="nil"/>
              <w:bottom w:color="000000" w:space="0" w:sz="4" w:val="dotted"/>
              <w:right w:color="000000" w:space="0" w:sz="0" w:val="nil"/>
            </w:tcBorders>
            <w:shd w:fill="efefef"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to leave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otići (</w:t>
            </w:r>
            <w:r w:rsidDel="00000000" w:rsidR="00000000" w:rsidRPr="00000000">
              <w:rPr>
                <w:i w:val="1"/>
                <w:rtl w:val="0"/>
              </w:rPr>
              <w:t xml:space="preserve">ja otiđem</w:t>
            </w:r>
            <w:r w:rsidDel="00000000" w:rsidR="00000000" w:rsidRPr="00000000">
              <w:rPr>
                <w:rtl w:val="0"/>
              </w:rPr>
              <w:t xml:space="preserve">)</w:t>
            </w:r>
          </w:p>
        </w:tc>
        <w:tc>
          <w:tcPr>
            <w:tcBorders>
              <w:top w:color="000000" w:space="0" w:sz="4" w:val="dotted"/>
              <w:left w:color="000000" w:space="0" w:sz="0" w:val="nil"/>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odlaziti (</w:t>
            </w:r>
            <w:r w:rsidDel="00000000" w:rsidR="00000000" w:rsidRPr="00000000">
              <w:rPr>
                <w:i w:val="1"/>
                <w:rtl w:val="0"/>
              </w:rPr>
              <w:t xml:space="preserve">ja odlazim</w:t>
            </w:r>
            <w:r w:rsidDel="00000000" w:rsidR="00000000" w:rsidRPr="00000000">
              <w:rPr>
                <w:rtl w:val="0"/>
              </w:rPr>
              <w:t xml:space="preserve">)</w:t>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Images used in this document are from </w:t>
      </w:r>
      <w:hyperlink r:id="rId10">
        <w:r w:rsidDel="00000000" w:rsidR="00000000" w:rsidRPr="00000000">
          <w:rPr>
            <w:color w:val="1155cc"/>
            <w:u w:val="single"/>
            <w:rtl w:val="0"/>
          </w:rPr>
          <w:t xml:space="preserve">these sources</w:t>
        </w:r>
      </w:hyperlink>
      <w:r w:rsidDel="00000000" w:rsidR="00000000" w:rsidRPr="00000000">
        <w:rPr>
          <w:rtl w:val="0"/>
        </w:rPr>
        <w:t xml:space="preserve">. </w:t>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drawing>
        <wp:inline distB="114300" distT="114300" distL="114300" distR="114300">
          <wp:extent cx="941832" cy="32964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3" name="image3.png"/>
          <a:graphic>
            <a:graphicData uri="http://schemas.openxmlformats.org/drawingml/2006/picture">
              <pic:pic>
                <pic:nvPicPr>
                  <pic:cNvPr id="0" name="image3.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b w:val="1"/>
        <w:sz w:val="24"/>
        <w:szCs w:val="24"/>
      </w:rPr>
    </w:pPr>
    <w:r w:rsidDel="00000000" w:rsidR="00000000" w:rsidRPr="00000000">
      <w:rPr>
        <w:b w:val="1"/>
        <w:sz w:val="28"/>
        <w:szCs w:val="28"/>
        <w:rtl w:val="0"/>
      </w:rPr>
      <w:t xml:space="preserve">10 |</w:t>
    </w:r>
    <w:r w:rsidDel="00000000" w:rsidR="00000000" w:rsidRPr="00000000">
      <w:rPr>
        <w:b w:val="1"/>
        <w:sz w:val="24"/>
        <w:szCs w:val="24"/>
        <w:rtl w:val="0"/>
      </w:rPr>
      <w:t xml:space="preserve"> Modul 1: Vokabular</w:t>
    </w:r>
  </w:p>
  <w:p w:rsidR="00000000" w:rsidDel="00000000" w:rsidP="00000000" w:rsidRDefault="00000000" w:rsidRPr="00000000" w14:paraId="00000044">
    <w:pPr>
      <w:jc w:val="right"/>
      <w:rPr>
        <w:i w:val="1"/>
        <w:sz w:val="24"/>
        <w:szCs w:val="24"/>
      </w:rPr>
    </w:pPr>
    <w:r w:rsidDel="00000000" w:rsidR="00000000" w:rsidRPr="00000000">
      <w:rPr>
        <w:i w:val="1"/>
        <w:sz w:val="24"/>
        <w:szCs w:val="24"/>
        <w:rtl w:val="0"/>
      </w:rPr>
      <w:t xml:space="preserve">Budimo zajedno!</w:t>
    </w:r>
  </w:p>
  <w:p w:rsidR="00000000" w:rsidDel="00000000" w:rsidP="00000000" w:rsidRDefault="00000000" w:rsidRPr="00000000" w14:paraId="00000045">
    <w:pPr>
      <w:jc w:val="right"/>
      <w:rPr>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docs.google.com/document/d/1DNffz3niTFcUzQxKiWFhQeXhVGRhjnkoJFj_AfveuWM/edit#heading=h.sunyral40mto" TargetMode="External"/><Relationship Id="rId12" Type="http://schemas.openxmlformats.org/officeDocument/2006/relationships/footer" Target="foot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hyperlink" Target="https://hr.wikipedia.org/wiki/Savezne_dr%C5%BEave_Sjedinjenih_Ameri%C4%8Dkih_Dr%C5%BEava#/media/Datoteka:Map_of_USA_with_state_names.svg" TargetMode="External"/><Relationship Id="rId7" Type="http://schemas.openxmlformats.org/officeDocument/2006/relationships/image" Target="media/image2.png"/><Relationship Id="rId8" Type="http://schemas.openxmlformats.org/officeDocument/2006/relationships/hyperlink" Target="https://commons.wikimedia.org/wiki/File:Europe_countries_map_2_hr.sv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