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>
          <w:i w:val="1"/>
          <w:iCs w:val="1"/>
        </w:rPr>
      </w:pPr>
      <w:bookmarkStart w:colFirst="0" w:colLast="0" w:name="_seshqql4c8hk" w:id="0"/>
      <w:bookmarkEnd w:id="0"/>
      <w:r w:rsidDel="00000000" w:rsidR="00000000" w:rsidRPr="00000000">
        <w:rPr>
          <w:rtl w:val="0"/>
        </w:rPr>
        <w:t xml:space="preserve">9.5 - Passives/Generalizations with </w:t>
      </w:r>
      <w:r w:rsidDel="00000000" w:rsidR="00000000" w:rsidRPr="00000000">
        <w:rPr>
          <w:i w:val="1"/>
          <w:iCs w:val="1"/>
          <w:rtl w:val="0"/>
        </w:rPr>
        <w:t xml:space="preserve">se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143500" cy="357187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35718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Kde se pivo pije, tam se dobře žije.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This popular Czech phrase translates roughly as ‘where beer is drunk, there life is good’. It is made using the reflexive </w:t>
      </w:r>
      <w:r w:rsidDel="00000000" w:rsidR="00000000" w:rsidRPr="00000000">
        <w:rPr>
          <w:i w:val="1"/>
          <w:iCs w:val="1"/>
          <w:rtl w:val="0"/>
        </w:rPr>
        <w:t xml:space="preserve">se</w:t>
      </w:r>
      <w:r w:rsidDel="00000000" w:rsidR="00000000" w:rsidRPr="00000000">
        <w:rPr>
          <w:rtl w:val="0"/>
        </w:rPr>
        <w:t xml:space="preserve"> ‘self’, so literally it means something like ‘where beer drinks itself, there it lives itself well’ – in English this is nonsense, but it gives you a sense of what is going on in the Czech.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In Czech, if you want to form a generalization of sorts, you can use a verb in the 3rd person and make it reflexive out of it. This all sounds a bit overly technical, so let’s just take a look at some examples with holidays: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V Česku se nejvíc slaví Vánoce.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Christmas is celebrated (lit. celebrates itself) the most in the Czech Republic.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Obvykle se zdobí stromeček.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Usually the Christmas tree is decorated (lit. decorates itself).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 Vánocích se peče hodně cukroví.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Over Christmas a lot of Christmas cookies are baked (lit. bake themselves)..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Kapr se podává s bramborovým salátem.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Carp is served (lit. serves itself) with potato salad.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Bramborový salát se často připravuje den předem.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Potato salad is often prepared (lit. prepares itself) the day before.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Praha,_U_%C4%8Cern%C3%A9ho_vola,_lok%C3%A1l.jpg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4tCPdHe1gK5tCShdXGDvySqLB4oCcHbBVnYk_bzwABI/edit#heading=h.lhuz0jcf8xe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