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259" w:lineRule="auto"/>
        <w:ind w:left="720"/>
        <w:rPr>
          <w:i w:val="1"/>
        </w:rPr>
      </w:pPr>
      <w:bookmarkStart w:colFirst="0" w:colLast="0" w:name="_xvjv69o2x8lq" w:id="0"/>
      <w:bookmarkEnd w:id="0"/>
      <w:r w:rsidDel="00000000" w:rsidR="00000000" w:rsidRPr="00000000">
        <w:rPr>
          <w:rtl w:val="0"/>
        </w:rPr>
        <w:t xml:space="preserve">6.4 - going by vehicle - the verbs </w:t>
      </w:r>
      <w:r w:rsidDel="00000000" w:rsidR="00000000" w:rsidRPr="00000000">
        <w:rPr>
          <w:i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jet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  <w:t xml:space="preserve">In this lesson we are going to learn about two more verbs, </w:t>
      </w:r>
      <w:r w:rsidDel="00000000" w:rsidR="00000000" w:rsidRPr="00000000">
        <w:rPr>
          <w:i w:val="1"/>
          <w:rtl w:val="0"/>
        </w:rPr>
        <w:t xml:space="preserve">jezdit</w:t>
      </w:r>
      <w:r w:rsidDel="00000000" w:rsidR="00000000" w:rsidRPr="00000000">
        <w:rPr>
          <w:rtl w:val="0"/>
        </w:rPr>
        <w:t xml:space="preserve"> ‘to go by vehicle (indet.)’ and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‘to go by vehicle (det.)’. As the definition implies, these verbs are used to describe motion by vehicle (as opposed to </w:t>
      </w:r>
      <w:r w:rsidDel="00000000" w:rsidR="00000000" w:rsidRPr="00000000">
        <w:rPr>
          <w:i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, which are used for motion on foot).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59" w:lineRule="auto"/>
        <w:rPr/>
      </w:pPr>
      <w:r w:rsidDel="00000000" w:rsidR="00000000" w:rsidRPr="00000000">
        <w:rPr>
          <w:i w:val="1"/>
          <w:rtl w:val="0"/>
        </w:rPr>
        <w:t xml:space="preserve">jezdit</w:t>
      </w:r>
      <w:r w:rsidDel="00000000" w:rsidR="00000000" w:rsidRPr="00000000">
        <w:rPr>
          <w:rtl w:val="0"/>
        </w:rPr>
        <w:t xml:space="preserve"> (like the verb </w:t>
      </w:r>
      <w:r w:rsidDel="00000000" w:rsidR="00000000" w:rsidRPr="00000000">
        <w:rPr>
          <w:i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is an </w:t>
      </w:r>
      <w:r w:rsidDel="00000000" w:rsidR="00000000" w:rsidRPr="00000000">
        <w:rPr>
          <w:b w:val="1"/>
          <w:rtl w:val="0"/>
        </w:rPr>
        <w:t xml:space="preserve">indeterminate verb of motion</w:t>
      </w:r>
      <w:r w:rsidDel="00000000" w:rsidR="00000000" w:rsidRPr="00000000">
        <w:rPr>
          <w:rtl w:val="0"/>
        </w:rPr>
        <w:t xml:space="preserve">, while the verb jet (like </w:t>
      </w:r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is a </w:t>
      </w:r>
      <w:r w:rsidDel="00000000" w:rsidR="00000000" w:rsidRPr="00000000">
        <w:rPr>
          <w:b w:val="1"/>
          <w:rtl w:val="0"/>
        </w:rPr>
        <w:t xml:space="preserve">determinate verb of motion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8"/>
        <w:gridCol w:w="3248"/>
        <w:gridCol w:w="2774"/>
        <w:tblGridChange w:id="0">
          <w:tblGrid>
            <w:gridCol w:w="3328"/>
            <w:gridCol w:w="3248"/>
            <w:gridCol w:w="2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determinate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59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chodit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59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jít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go (by foot)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59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jezdit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59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jet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go (by vehicle)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59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Motion to Close-by Places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How strict are Czechs in differentiating going by foot and going by vehicles? In general the </w:t>
      </w:r>
      <w:r w:rsidDel="00000000" w:rsidR="00000000" w:rsidRPr="00000000">
        <w:rPr>
          <w:i w:val="1"/>
          <w:rtl w:val="0"/>
        </w:rPr>
        <w:t xml:space="preserve">foot verbs</w:t>
      </w:r>
      <w:r w:rsidDel="00000000" w:rsidR="00000000" w:rsidRPr="00000000">
        <w:rPr>
          <w:rtl w:val="0"/>
        </w:rPr>
        <w:t xml:space="preserve"> are used for motion that was </w:t>
      </w:r>
      <w:r w:rsidDel="00000000" w:rsidR="00000000" w:rsidRPr="00000000">
        <w:rPr>
          <w:b w:val="1"/>
          <w:rtl w:val="0"/>
        </w:rPr>
        <w:t xml:space="preserve">definitely on foot</w:t>
      </w:r>
      <w:r w:rsidDel="00000000" w:rsidR="00000000" w:rsidRPr="00000000">
        <w:rPr>
          <w:rtl w:val="0"/>
        </w:rPr>
        <w:t xml:space="preserve">, but also for motion to places that are </w:t>
      </w:r>
      <w:r w:rsidDel="00000000" w:rsidR="00000000" w:rsidRPr="00000000">
        <w:rPr>
          <w:b w:val="1"/>
          <w:rtl w:val="0"/>
        </w:rPr>
        <w:t xml:space="preserve">close by</w:t>
      </w:r>
      <w:r w:rsidDel="00000000" w:rsidR="00000000" w:rsidRPr="00000000">
        <w:rPr>
          <w:rtl w:val="0"/>
        </w:rPr>
        <w:t xml:space="preserve">. A good rule of thumb is that you can use is that if the place is close by and you don’t wish to explicitly state that the motion was by vehicle.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Far away Places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On the other hand, for far away places it is quite necessary to use the </w:t>
      </w:r>
      <w:r w:rsidDel="00000000" w:rsidR="00000000" w:rsidRPr="00000000">
        <w:rPr>
          <w:i w:val="1"/>
          <w:rtl w:val="0"/>
        </w:rPr>
        <w:t xml:space="preserve">vehicle verbs</w:t>
      </w:r>
      <w:r w:rsidDel="00000000" w:rsidR="00000000" w:rsidRPr="00000000">
        <w:rPr>
          <w:rtl w:val="0"/>
        </w:rPr>
        <w:t xml:space="preserve">. If you use the</w:t>
      </w:r>
      <w:r w:rsidDel="00000000" w:rsidR="00000000" w:rsidRPr="00000000">
        <w:rPr>
          <w:i w:val="1"/>
          <w:rtl w:val="0"/>
        </w:rPr>
        <w:t xml:space="preserve"> foot verbs</w:t>
      </w:r>
      <w:r w:rsidDel="00000000" w:rsidR="00000000" w:rsidRPr="00000000">
        <w:rPr>
          <w:rtl w:val="0"/>
        </w:rPr>
        <w:t xml:space="preserve"> in these instances it would sound quite odd to the Czech ear and quite literally imply that you went there by foot, i.e. - imagine you say that you went to Germany and used the one of the </w:t>
      </w:r>
      <w:r w:rsidDel="00000000" w:rsidR="00000000" w:rsidRPr="00000000">
        <w:rPr>
          <w:i w:val="1"/>
          <w:rtl w:val="0"/>
        </w:rPr>
        <w:t xml:space="preserve">foot verbs</w:t>
      </w:r>
      <w:r w:rsidDel="00000000" w:rsidR="00000000" w:rsidRPr="00000000">
        <w:rPr>
          <w:rtl w:val="0"/>
        </w:rPr>
        <w:t xml:space="preserve">. To a Czech, this would sound as if you walked all the way to Germany!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>
          <w:i w:val="1"/>
        </w:rPr>
      </w:pPr>
      <w:bookmarkStart w:colFirst="0" w:colLast="0" w:name="_wl8xlb7rdjv1" w:id="1"/>
      <w:bookmarkEnd w:id="1"/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i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rtl w:val="0"/>
        </w:rPr>
        <w:t xml:space="preserve">jet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59" w:lineRule="auto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So how are these verbs used? Let’s take a closer look at the difference between them:</w:t>
      </w:r>
    </w:p>
    <w:p w:rsidR="00000000" w:rsidDel="00000000" w:rsidP="00000000" w:rsidRDefault="00000000" w:rsidRPr="00000000" w14:paraId="0000001A">
      <w:pPr>
        <w:pageBreakBefore w:val="0"/>
        <w:spacing w:line="259" w:lineRule="auto"/>
        <w:rPr/>
      </w:pPr>
      <w:bookmarkStart w:colFirst="0" w:colLast="0" w:name="_n1qszcaimge5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3"/>
        <w:gridCol w:w="4610"/>
        <w:tblGridChange w:id="0">
          <w:tblGrid>
            <w:gridCol w:w="4723"/>
            <w:gridCol w:w="461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spacing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jezdit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indeterminate verbs because they either have many instances of a goal or lack a goal altogether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determinate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jet</w:t>
            </w:r>
            <w:r w:rsidDel="00000000" w:rsidR="00000000" w:rsidRPr="00000000">
              <w:rPr>
                <w:b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determinate verbs because they have a single one-time goal.</w:t>
            </w:r>
          </w:p>
        </w:tc>
      </w:tr>
      <w:tr>
        <w:trPr>
          <w:cantSplit w:val="0"/>
          <w:trHeight w:val="508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habitual acts of going - use the verb </w:t>
            </w:r>
            <w:r w:rsidDel="00000000" w:rsidR="00000000" w:rsidRPr="00000000">
              <w:rPr>
                <w:i w:val="1"/>
                <w:rtl w:val="0"/>
              </w:rPr>
              <w:t xml:space="preserve">chodit</w:t>
            </w:r>
            <w:r w:rsidDel="00000000" w:rsidR="00000000" w:rsidRPr="00000000">
              <w:rPr>
                <w:rtl w:val="0"/>
              </w:rPr>
              <w:t xml:space="preserve"> when you are describing </w:t>
            </w:r>
            <w:r w:rsidDel="00000000" w:rsidR="00000000" w:rsidRPr="00000000">
              <w:rPr>
                <w:b w:val="1"/>
                <w:rtl w:val="0"/>
              </w:rPr>
              <w:t xml:space="preserve">frequent or habitual trips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Často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jezdím </w:t>
            </w:r>
            <w:r w:rsidDel="00000000" w:rsidR="00000000" w:rsidRPr="00000000">
              <w:rPr>
                <w:i w:val="1"/>
                <w:rtl w:val="0"/>
              </w:rPr>
              <w:t xml:space="preserve">do Olomouce.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often go (by vehicle) to Olomouc.’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Dřív jsme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jezdili </w:t>
            </w:r>
            <w:r w:rsidDel="00000000" w:rsidR="00000000" w:rsidRPr="00000000">
              <w:rPr>
                <w:rtl w:val="0"/>
              </w:rPr>
              <w:t xml:space="preserve">na chatu každý víkend</w:t>
            </w:r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used to go to the pub twice a week.’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single trip - use the verb </w:t>
            </w:r>
            <w:r w:rsidDel="00000000" w:rsidR="00000000" w:rsidRPr="00000000">
              <w:rPr>
                <w:i w:val="1"/>
                <w:rtl w:val="0"/>
              </w:rPr>
              <w:t xml:space="preserve">jít</w:t>
            </w:r>
            <w:r w:rsidDel="00000000" w:rsidR="00000000" w:rsidRPr="00000000">
              <w:rPr>
                <w:rtl w:val="0"/>
              </w:rPr>
              <w:t xml:space="preserve"> when you describing a </w:t>
            </w:r>
            <w:r w:rsidDel="00000000" w:rsidR="00000000" w:rsidRPr="00000000">
              <w:rPr>
                <w:b w:val="1"/>
                <w:rtl w:val="0"/>
              </w:rPr>
              <w:t xml:space="preserve">single trip from point A to point 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59" w:lineRule="auto"/>
              <w:ind w:left="699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Dneska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jedeme </w:t>
            </w:r>
            <w:r w:rsidDel="00000000" w:rsidR="00000000" w:rsidRPr="00000000">
              <w:rPr>
                <w:i w:val="1"/>
                <w:rtl w:val="0"/>
              </w:rPr>
              <w:t xml:space="preserve">do Prahy.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We’re going to Prague today.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Včera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jsme jeli </w:t>
            </w:r>
            <w:r w:rsidDel="00000000" w:rsidR="00000000" w:rsidRPr="00000000">
              <w:rPr>
                <w:i w:val="1"/>
                <w:rtl w:val="0"/>
              </w:rPr>
              <w:t xml:space="preserve">do Brna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Yesterday we went to Brno.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59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Jedeme </w:t>
            </w:r>
            <w:r w:rsidDel="00000000" w:rsidR="00000000" w:rsidRPr="00000000">
              <w:rPr>
                <w:i w:val="1"/>
                <w:rtl w:val="0"/>
              </w:rPr>
              <w:t xml:space="preserve">teď do Ostravy.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‘We’re going to Ostrava now’</w:t>
            </w:r>
          </w:p>
        </w:tc>
      </w:tr>
      <w:tr>
        <w:trPr>
          <w:cantSplit w:val="0"/>
          <w:trHeight w:val="508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2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 will talk more about the 2nd meaning at a later time, for now you don’t have to worry about it.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goal-less motion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480" w:lineRule="auto"/>
              <w:ind w:firstLine="72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7775" cy="9144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Taxikáři obvykle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jezdí </w:t>
            </w:r>
            <w:r w:rsidDel="00000000" w:rsidR="00000000" w:rsidRPr="00000000">
              <w:rPr>
                <w:i w:val="1"/>
                <w:rtl w:val="0"/>
              </w:rPr>
              <w:t xml:space="preserve">celý den po městě.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‘Taxi drivers usually drive around the city all day.’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-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-180" w:firstLine="0"/>
        <w:rPr/>
      </w:pPr>
      <w:r w:rsidDel="00000000" w:rsidR="00000000" w:rsidRPr="00000000">
        <w:rPr>
          <w:color w:val="222222"/>
          <w:sz w:val="22"/>
          <w:szCs w:val="22"/>
          <w:highlight w:val="white"/>
          <w:rtl w:val="0"/>
        </w:rPr>
        <w:t xml:space="preserve">Image used in this document comes from </w:t>
      </w:r>
      <w:hyperlink r:id="rId8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this source.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hyperlink" Target="https://docs.google.com/document/d/1zu04ewEVSZyzgeJP4UruSCuuT6cwPM-ukabQuZH2Y_I/edit#heading=h.krcxrhvxtv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