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259" w:lineRule="auto"/>
        <w:ind w:left="720"/>
        <w:rPr/>
      </w:pPr>
      <w:bookmarkStart w:colFirst="0" w:colLast="0" w:name="_sbc2h2l0f6o1" w:id="0"/>
      <w:bookmarkEnd w:id="0"/>
      <w:r w:rsidDel="00000000" w:rsidR="00000000" w:rsidRPr="00000000">
        <w:rPr>
          <w:rtl w:val="0"/>
        </w:rPr>
        <w:t xml:space="preserve">6.7 - </w:t>
      </w:r>
      <w:r w:rsidDel="00000000" w:rsidR="00000000" w:rsidRPr="00000000">
        <w:rPr>
          <w:i w:val="1"/>
          <w:rtl w:val="0"/>
        </w:rPr>
        <w:t xml:space="preserve">chodit</w:t>
      </w:r>
      <w:r w:rsidDel="00000000" w:rsidR="00000000" w:rsidRPr="00000000">
        <w:rPr>
          <w:rtl w:val="0"/>
        </w:rPr>
        <w:t xml:space="preserve"> vs. </w:t>
      </w:r>
      <w:r w:rsidDel="00000000" w:rsidR="00000000" w:rsidRPr="00000000">
        <w:rPr>
          <w:i w:val="1"/>
          <w:rtl w:val="0"/>
        </w:rPr>
        <w:t xml:space="preserve">jít</w:t>
      </w:r>
      <w:r w:rsidDel="00000000" w:rsidR="00000000" w:rsidRPr="00000000">
        <w:rPr>
          <w:rtl w:val="0"/>
        </w:rPr>
        <w:t xml:space="preserve"> (past tense)</w:t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  <w:t xml:space="preserve">In this lesson we are going to review the use of jít vs. chodit and expand our understanding to the past tense.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8"/>
        <w:gridCol w:w="3248"/>
        <w:gridCol w:w="2774"/>
        <w:tblGridChange w:id="0">
          <w:tblGrid>
            <w:gridCol w:w="3328"/>
            <w:gridCol w:w="3248"/>
            <w:gridCol w:w="2774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indeterminate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determinate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chodit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jít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to go (by foot)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59" w:lineRule="auto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33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3"/>
        <w:gridCol w:w="4610"/>
        <w:tblGridChange w:id="0">
          <w:tblGrid>
            <w:gridCol w:w="4723"/>
            <w:gridCol w:w="461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indeterminate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chodit</w:t>
            </w:r>
            <w:r w:rsidDel="00000000" w:rsidR="00000000" w:rsidRPr="00000000">
              <w:rPr>
                <w:b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indeterminate verbs because they either have many instances of a goal or lack a goal altogether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determinate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jít</w:t>
            </w:r>
            <w:r w:rsidDel="00000000" w:rsidR="00000000" w:rsidRPr="00000000">
              <w:rPr>
                <w:b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determinate verbs because they have a single one-time goal.</w:t>
            </w:r>
          </w:p>
        </w:tc>
      </w:tr>
      <w:tr>
        <w:trPr>
          <w:cantSplit w:val="0"/>
          <w:trHeight w:val="28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habitual acts of going - use the verb </w:t>
            </w:r>
            <w:r w:rsidDel="00000000" w:rsidR="00000000" w:rsidRPr="00000000">
              <w:rPr>
                <w:i w:val="1"/>
                <w:rtl w:val="0"/>
              </w:rPr>
              <w:t xml:space="preserve">chodit</w:t>
            </w:r>
            <w:r w:rsidDel="00000000" w:rsidR="00000000" w:rsidRPr="00000000">
              <w:rPr>
                <w:rtl w:val="0"/>
              </w:rPr>
              <w:t xml:space="preserve"> when you are describing </w:t>
            </w:r>
            <w:r w:rsidDel="00000000" w:rsidR="00000000" w:rsidRPr="00000000">
              <w:rPr>
                <w:b w:val="1"/>
                <w:rtl w:val="0"/>
              </w:rPr>
              <w:t xml:space="preserve">frequent or habitual trips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Chodila jsem </w:t>
            </w:r>
            <w:r w:rsidDel="00000000" w:rsidR="00000000" w:rsidRPr="00000000">
              <w:rPr>
                <w:i w:val="1"/>
                <w:rtl w:val="0"/>
              </w:rPr>
              <w:t xml:space="preserve">do hospody dvakrát týdně.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used to go to the pub twice a week.’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single trip - use the verb </w:t>
            </w:r>
            <w:r w:rsidDel="00000000" w:rsidR="00000000" w:rsidRPr="00000000">
              <w:rPr>
                <w:i w:val="1"/>
                <w:rtl w:val="0"/>
              </w:rPr>
              <w:t xml:space="preserve">jít</w:t>
            </w:r>
            <w:r w:rsidDel="00000000" w:rsidR="00000000" w:rsidRPr="00000000">
              <w:rPr>
                <w:rtl w:val="0"/>
              </w:rPr>
              <w:t xml:space="preserve"> when you describing a </w:t>
            </w:r>
            <w:r w:rsidDel="00000000" w:rsidR="00000000" w:rsidRPr="00000000">
              <w:rPr>
                <w:b w:val="1"/>
                <w:rtl w:val="0"/>
              </w:rPr>
              <w:t xml:space="preserve">single trip from point A to point B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59" w:lineRule="auto"/>
              <w:ind w:left="699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Včera večer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jsme šli </w:t>
            </w:r>
            <w:r w:rsidDel="00000000" w:rsidR="00000000" w:rsidRPr="00000000">
              <w:rPr>
                <w:i w:val="1"/>
                <w:rtl w:val="0"/>
              </w:rPr>
              <w:t xml:space="preserve">do kina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This evening we’re going to the movies.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D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We will talk more about the 2nd meaning at a later time, for now you don’t have to worry about it.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goal-less motion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480" w:lineRule="auto"/>
              <w:ind w:firstLine="72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7775" cy="9144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Často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chodím </w:t>
            </w:r>
            <w:r w:rsidDel="00000000" w:rsidR="00000000" w:rsidRPr="00000000">
              <w:rPr>
                <w:i w:val="1"/>
                <w:rtl w:val="0"/>
              </w:rPr>
              <w:t xml:space="preserve">po tom krásném parku.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often walk around that beautiful park.’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Image used in this document comes from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this source.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hyperlink" Target="https://docs.google.com/document/d/1zu04ewEVSZyzgeJP4UruSCuuT6cwPM-ukabQuZH2Y_I/edit#heading=h.sg4lpp7ngi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