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6xysdlqpojtu"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5: Stambeno pitanje</w:t>
      </w:r>
    </w:p>
    <w:p w:rsidR="00000000" w:rsidDel="00000000" w:rsidP="00000000" w:rsidRDefault="00000000" w:rsidRPr="00000000" w14:paraId="00000002">
      <w:pPr>
        <w:pStyle w:val="Heading1"/>
        <w:rPr/>
      </w:pPr>
      <w:bookmarkStart w:colFirst="0" w:colLast="0" w:name="_xku92nxrigiq" w:id="1"/>
      <w:bookmarkEnd w:id="1"/>
      <w:r w:rsidDel="00000000" w:rsidR="00000000" w:rsidRPr="00000000">
        <w:rPr>
          <w:color w:val="333a91"/>
          <w:rtl w:val="0"/>
        </w:rPr>
        <w:t xml:space="preserve">|</w:t>
      </w:r>
      <w:r w:rsidDel="00000000" w:rsidR="00000000" w:rsidRPr="00000000">
        <w:rPr>
          <w:rtl w:val="0"/>
        </w:rPr>
        <w:t xml:space="preserve"> The verb ŽIVJETI</w:t>
      </w:r>
    </w:p>
    <w:p w:rsidR="00000000" w:rsidDel="00000000" w:rsidP="00000000" w:rsidRDefault="00000000" w:rsidRPr="00000000" w14:paraId="00000003">
      <w:pPr>
        <w:rPr/>
      </w:pPr>
      <w:r w:rsidDel="00000000" w:rsidR="00000000" w:rsidRPr="00000000">
        <w:rPr>
          <w:rtl w:val="0"/>
        </w:rPr>
        <w:t xml:space="preserve">The verb </w:t>
      </w:r>
      <w:r w:rsidDel="00000000" w:rsidR="00000000" w:rsidRPr="00000000">
        <w:rPr>
          <w:i w:val="1"/>
          <w:rtl w:val="0"/>
        </w:rPr>
        <w:t xml:space="preserve">živjeti</w:t>
      </w:r>
      <w:r w:rsidDel="00000000" w:rsidR="00000000" w:rsidRPr="00000000">
        <w:rPr>
          <w:rtl w:val="0"/>
        </w:rPr>
        <w:t xml:space="preserve"> follows the rules of -jeti verbs that you already encountered. Most likely you will use the verb živjeti in the context of a specific location (I live in Austin, or I live in a house). Remember, when you want to express where you are located, you need to use the Locative case. Endings are listed for you again here.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230"/>
        <w:gridCol w:w="1665"/>
        <w:gridCol w:w="1215"/>
        <w:gridCol w:w="1290"/>
        <w:gridCol w:w="2655"/>
        <w:tblGridChange w:id="0">
          <w:tblGrid>
            <w:gridCol w:w="1305"/>
            <w:gridCol w:w="1230"/>
            <w:gridCol w:w="1665"/>
            <w:gridCol w:w="1215"/>
            <w:gridCol w:w="1290"/>
            <w:gridCol w:w="2655"/>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jc w:val="center"/>
              <w:rPr>
                <w:b w:val="1"/>
                <w:color w:val="ffffff"/>
              </w:rPr>
            </w:pPr>
            <w:r w:rsidDel="00000000" w:rsidR="00000000" w:rsidRPr="00000000">
              <w:rPr>
                <w:b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jc w:val="center"/>
              <w:rPr>
                <w:b w:val="1"/>
                <w:color w:val="ffffff"/>
              </w:rPr>
            </w:pPr>
            <w:r w:rsidDel="00000000" w:rsidR="00000000" w:rsidRPr="00000000">
              <w:rPr>
                <w:b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živ-im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živ-imo</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živ-iš</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živ-ite</w:t>
            </w:r>
          </w:p>
        </w:tc>
      </w:tr>
      <w:tr>
        <w:trPr>
          <w:cantSplit w:val="0"/>
          <w:tblHeader w:val="0"/>
        </w:trPr>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živ-i</w:t>
            </w:r>
          </w:p>
        </w:tc>
        <w:tc>
          <w:tcPr>
            <w:tcBorders>
              <w:top w:color="000000" w:space="0" w:sz="4" w:val="single"/>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živ-e</w:t>
            </w:r>
          </w:p>
        </w:tc>
      </w:tr>
    </w:tbl>
    <w:p w:rsidR="00000000" w:rsidDel="00000000" w:rsidP="00000000" w:rsidRDefault="00000000" w:rsidRPr="00000000" w14:paraId="0000001C">
      <w:pPr>
        <w:pStyle w:val="Heading2"/>
        <w:rPr/>
      </w:pPr>
      <w:bookmarkStart w:colFirst="0" w:colLast="0" w:name="_cvf9rsxeheqo" w:id="2"/>
      <w:bookmarkEnd w:id="2"/>
      <w:r w:rsidDel="00000000" w:rsidR="00000000" w:rsidRPr="00000000">
        <w:rPr>
          <w:rtl w:val="0"/>
        </w:rPr>
        <w:t xml:space="preserve">Gdje živiš?</w:t>
      </w:r>
    </w:p>
    <w:tbl>
      <w:tblPr>
        <w:tblStyle w:val="Table2"/>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80"/>
        <w:gridCol w:w="2430"/>
        <w:gridCol w:w="2610"/>
        <w:gridCol w:w="2700"/>
        <w:tblGridChange w:id="0">
          <w:tblGrid>
            <w:gridCol w:w="1380"/>
            <w:gridCol w:w="2430"/>
            <w:gridCol w:w="2610"/>
            <w:gridCol w:w="2700"/>
          </w:tblGrid>
        </w:tblGridChange>
      </w:tblGrid>
      <w:tr>
        <w:trPr>
          <w:cantSplit w:val="0"/>
          <w:trHeight w:val="440" w:hRule="atLeast"/>
          <w:tblHeader w:val="0"/>
        </w:trPr>
        <w:tc>
          <w:tcPr>
            <w:vMerge w:val="restart"/>
            <w:tcBorders>
              <w:top w:color="000000" w:space="0" w:sz="8" w:val="dotted"/>
              <w:left w:color="000000" w:space="0" w:sz="0" w:val="nil"/>
              <w:bottom w:color="000000" w:space="0" w:sz="8" w:val="single"/>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Ja živim…</w:t>
            </w:r>
          </w:p>
        </w:tc>
        <w:tc>
          <w:tcPr>
            <w:tcBorders>
              <w:top w:color="000000" w:space="0" w:sz="8" w:val="dotted"/>
              <w:left w:color="000000" w:space="0" w:sz="8" w:val="dotted"/>
              <w:bottom w:color="000000" w:space="0" w:sz="0" w:val="nil"/>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jc w:val="center"/>
              <w:rPr>
                <w:b w:val="1"/>
                <w:color w:val="ff0000"/>
              </w:rPr>
            </w:pPr>
            <w:r w:rsidDel="00000000" w:rsidR="00000000" w:rsidRPr="00000000">
              <w:rPr>
                <w:rtl w:val="0"/>
              </w:rPr>
              <w:t xml:space="preserve">u grad</w:t>
            </w:r>
            <w:r w:rsidDel="00000000" w:rsidR="00000000" w:rsidRPr="00000000">
              <w:rPr>
                <w:b w:val="1"/>
                <w:color w:val="ff0000"/>
                <w:rtl w:val="0"/>
              </w:rPr>
              <w:t xml:space="preserve">u</w:t>
            </w:r>
          </w:p>
        </w:tc>
        <w:tc>
          <w:tcPr>
            <w:tcBorders>
              <w:top w:color="000000" w:space="0" w:sz="8" w:val="dotted"/>
              <w:left w:color="000000" w:space="0" w:sz="8" w:val="dotted"/>
              <w:bottom w:color="000000" w:space="0" w:sz="0" w:val="nil"/>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jc w:val="center"/>
              <w:rPr>
                <w:b w:val="1"/>
                <w:color w:val="ff0000"/>
              </w:rPr>
            </w:pPr>
            <w:r w:rsidDel="00000000" w:rsidR="00000000" w:rsidRPr="00000000">
              <w:rPr>
                <w:rtl w:val="0"/>
              </w:rPr>
              <w:t xml:space="preserve">u kuć</w:t>
            </w:r>
            <w:r w:rsidDel="00000000" w:rsidR="00000000" w:rsidRPr="00000000">
              <w:rPr>
                <w:b w:val="1"/>
                <w:color w:val="ff0000"/>
                <w:rtl w:val="0"/>
              </w:rPr>
              <w:t xml:space="preserve">i</w:t>
            </w:r>
          </w:p>
        </w:tc>
        <w:tc>
          <w:tcPr>
            <w:tcBorders>
              <w:top w:color="000000" w:space="0" w:sz="8" w:val="dotted"/>
              <w:left w:color="000000" w:space="0" w:sz="8" w:val="dotted"/>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jc w:val="center"/>
              <w:rPr>
                <w:b w:val="1"/>
                <w:color w:val="ff0000"/>
              </w:rPr>
            </w:pPr>
            <w:r w:rsidDel="00000000" w:rsidR="00000000" w:rsidRPr="00000000">
              <w:rPr>
                <w:rtl w:val="0"/>
              </w:rPr>
              <w:t xml:space="preserve">na sel</w:t>
            </w:r>
            <w:r w:rsidDel="00000000" w:rsidR="00000000" w:rsidRPr="00000000">
              <w:rPr>
                <w:b w:val="1"/>
                <w:color w:val="ff0000"/>
                <w:rtl w:val="0"/>
              </w:rPr>
              <w:t xml:space="preserve">u</w:t>
            </w:r>
          </w:p>
        </w:tc>
      </w:tr>
      <w:tr>
        <w:trPr>
          <w:cantSplit w:val="0"/>
          <w:trHeight w:val="440" w:hRule="atLeast"/>
          <w:tblHeader w:val="0"/>
        </w:trPr>
        <w:tc>
          <w:tcPr>
            <w:vMerge w:val="continue"/>
            <w:tcBorders>
              <w:left w:color="000000" w:space="0" w:sz="0" w:val="nil"/>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r>
          </w:p>
        </w:tc>
        <w:tc>
          <w:tcPr>
            <w:tcBorders>
              <w:top w:color="000000" w:space="0" w:sz="0" w:val="nil"/>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pPr>
            <w:r w:rsidDel="00000000" w:rsidR="00000000" w:rsidRPr="00000000">
              <w:rPr>
                <w:rtl w:val="0"/>
              </w:rPr>
              <w:t xml:space="preserve">masculine</w:t>
            </w:r>
          </w:p>
          <w:p w:rsidR="00000000" w:rsidDel="00000000" w:rsidP="00000000" w:rsidRDefault="00000000" w:rsidRPr="00000000" w14:paraId="00000024">
            <w:pPr>
              <w:spacing w:line="240" w:lineRule="auto"/>
              <w:jc w:val="center"/>
              <w:rPr/>
            </w:pPr>
            <w:r w:rsidDel="00000000" w:rsidR="00000000" w:rsidRPr="00000000">
              <w:rPr>
                <w:rtl w:val="0"/>
              </w:rPr>
              <w:t xml:space="preserve"> locative singular</w:t>
            </w:r>
          </w:p>
        </w:tc>
        <w:tc>
          <w:tcPr>
            <w:tcBorders>
              <w:top w:color="000000" w:space="0" w:sz="0" w:val="nil"/>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25">
            <w:pPr>
              <w:spacing w:line="240" w:lineRule="auto"/>
              <w:jc w:val="center"/>
              <w:rPr/>
            </w:pPr>
            <w:r w:rsidDel="00000000" w:rsidR="00000000" w:rsidRPr="00000000">
              <w:rPr>
                <w:rtl w:val="0"/>
              </w:rPr>
              <w:t xml:space="preserve">feminine</w:t>
            </w:r>
          </w:p>
          <w:p w:rsidR="00000000" w:rsidDel="00000000" w:rsidP="00000000" w:rsidRDefault="00000000" w:rsidRPr="00000000" w14:paraId="00000026">
            <w:pPr>
              <w:spacing w:line="240" w:lineRule="auto"/>
              <w:jc w:val="center"/>
              <w:rPr/>
            </w:pPr>
            <w:r w:rsidDel="00000000" w:rsidR="00000000" w:rsidRPr="00000000">
              <w:rPr>
                <w:rtl w:val="0"/>
              </w:rPr>
              <w:t xml:space="preserve">locative singular</w:t>
            </w:r>
          </w:p>
        </w:tc>
        <w:tc>
          <w:tcPr>
            <w:tcBorders>
              <w:top w:color="000000" w:space="0" w:sz="0" w:val="nil"/>
              <w:left w:color="000000" w:space="0" w:sz="8" w:val="dotted"/>
              <w:bottom w:color="000000" w:space="0" w:sz="8" w:val="dotted"/>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line="240" w:lineRule="auto"/>
              <w:jc w:val="center"/>
              <w:rPr/>
            </w:pPr>
            <w:r w:rsidDel="00000000" w:rsidR="00000000" w:rsidRPr="00000000">
              <w:rPr>
                <w:rtl w:val="0"/>
              </w:rPr>
              <w:t xml:space="preserve">neuter </w:t>
            </w:r>
          </w:p>
          <w:p w:rsidR="00000000" w:rsidDel="00000000" w:rsidP="00000000" w:rsidRDefault="00000000" w:rsidRPr="00000000" w14:paraId="00000028">
            <w:pPr>
              <w:spacing w:line="240" w:lineRule="auto"/>
              <w:jc w:val="center"/>
              <w:rPr/>
            </w:pPr>
            <w:r w:rsidDel="00000000" w:rsidR="00000000" w:rsidRPr="00000000">
              <w:rPr>
                <w:rtl w:val="0"/>
              </w:rPr>
              <w:t xml:space="preserve">locative singular</w:t>
            </w:r>
          </w:p>
        </w:tc>
      </w:tr>
    </w:tbl>
    <w:p w:rsidR="00000000" w:rsidDel="00000000" w:rsidP="00000000" w:rsidRDefault="00000000" w:rsidRPr="00000000" w14:paraId="00000029">
      <w:pPr>
        <w:pStyle w:val="Heading1"/>
        <w:rPr>
          <w:color w:val="333a91"/>
        </w:rPr>
      </w:pPr>
      <w:bookmarkStart w:colFirst="0" w:colLast="0" w:name="_uxhsijsedau0" w:id="3"/>
      <w:bookmarkEnd w:id="3"/>
      <w:r w:rsidDel="00000000" w:rsidR="00000000" w:rsidRPr="00000000">
        <w:rPr>
          <w:color w:val="333a91"/>
          <w:rtl w:val="0"/>
        </w:rPr>
        <w:t xml:space="preserve">3.1 Zadatak 11. Gdje živite?</w:t>
      </w:r>
    </w:p>
    <w:p w:rsidR="00000000" w:rsidDel="00000000" w:rsidP="00000000" w:rsidRDefault="00000000" w:rsidRPr="00000000" w14:paraId="0000002A">
      <w:pPr>
        <w:rPr/>
      </w:pPr>
      <w:r w:rsidDel="00000000" w:rsidR="00000000" w:rsidRPr="00000000">
        <w:rPr>
          <w:rtl w:val="0"/>
        </w:rPr>
        <w:t xml:space="preserve">[h5p id="357"] </w:t>
      </w:r>
    </w:p>
    <w:p w:rsidR="00000000" w:rsidDel="00000000" w:rsidP="00000000" w:rsidRDefault="00000000" w:rsidRPr="00000000" w14:paraId="0000002B">
      <w:pPr>
        <w:pStyle w:val="Heading1"/>
        <w:spacing w:line="240" w:lineRule="auto"/>
        <w:rPr>
          <w:color w:val="333a91"/>
        </w:rPr>
      </w:pPr>
      <w:bookmarkStart w:colFirst="0" w:colLast="0" w:name="_63fga0jw8lf3" w:id="4"/>
      <w:bookmarkEnd w:id="4"/>
      <w:r w:rsidDel="00000000" w:rsidR="00000000" w:rsidRPr="00000000">
        <w:rPr>
          <w:color w:val="333a91"/>
          <w:rtl w:val="0"/>
        </w:rPr>
        <w:t xml:space="preserve">3.1 Zadatak 12. Lokacije</w:t>
      </w:r>
    </w:p>
    <w:p w:rsidR="00000000" w:rsidDel="00000000" w:rsidP="00000000" w:rsidRDefault="00000000" w:rsidRPr="00000000" w14:paraId="0000002C">
      <w:pPr>
        <w:rPr/>
      </w:pPr>
      <w:r w:rsidDel="00000000" w:rsidR="00000000" w:rsidRPr="00000000">
        <w:rPr>
          <w:rtl w:val="0"/>
        </w:rPr>
        <w:t xml:space="preserve">🔊 Listen to the dialogue that you encountered in Unit 2. It is a dialogue between Laura and her local friends (Sandra, Davor, and Mario). In the dialogue she asked them where they originally came from. Your task is to use this information in order to answer the set of questions below. Be careful, this time you need to use the Locative case in your answer, together with the appropriate preposition) in order to provide the answer to where they live.</w:t>
      </w:r>
    </w:p>
    <w:p w:rsidR="00000000" w:rsidDel="00000000" w:rsidP="00000000" w:rsidRDefault="00000000" w:rsidRPr="00000000" w14:paraId="0000002D">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Nominative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stan</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kuće</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polje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Locative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-u</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-i</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-u</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hyperlink r:id="rId12">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38">
      <w:pPr>
        <w:rPr/>
      </w:pPr>
      <w:r w:rsidDel="00000000" w:rsidR="00000000" w:rsidRPr="00000000">
        <w:rPr/>
        <w:drawing>
          <wp:inline distB="114300" distT="114300" distL="114300" distR="114300">
            <wp:extent cx="5943600" cy="5943600"/>
            <wp:effectExtent b="0" l="0" r="0" t="0"/>
            <wp:docPr id="3"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[h5p id="358"]</w:t>
      </w:r>
    </w:p>
    <w:p w:rsidR="00000000" w:rsidDel="00000000" w:rsidP="00000000" w:rsidRDefault="00000000" w:rsidRPr="00000000" w14:paraId="0000003A">
      <w:pPr>
        <w:pStyle w:val="Heading1"/>
        <w:rPr/>
      </w:pPr>
      <w:bookmarkStart w:colFirst="0" w:colLast="0" w:name="_wlv6kahx3rq4" w:id="5"/>
      <w:bookmarkEnd w:id="5"/>
      <w:r w:rsidDel="00000000" w:rsidR="00000000" w:rsidRPr="00000000">
        <w:rPr>
          <w:color w:val="333a91"/>
          <w:rtl w:val="0"/>
        </w:rPr>
        <w:t xml:space="preserve">|</w:t>
      </w:r>
      <w:r w:rsidDel="00000000" w:rsidR="00000000" w:rsidRPr="00000000">
        <w:rPr>
          <w:rtl w:val="0"/>
        </w:rPr>
        <w:t xml:space="preserve"> Possessive adjectives – Animate nouns</w:t>
      </w:r>
    </w:p>
    <w:p w:rsidR="00000000" w:rsidDel="00000000" w:rsidP="00000000" w:rsidRDefault="00000000" w:rsidRPr="00000000" w14:paraId="0000003B">
      <w:pPr>
        <w:rPr/>
      </w:pPr>
      <w:r w:rsidDel="00000000" w:rsidR="00000000" w:rsidRPr="00000000">
        <w:rPr>
          <w:rtl w:val="0"/>
        </w:rPr>
        <w:t xml:space="preserve">Possessive adjectives are formed from personal names of people and animals or common nouns denoting people to express that something or someone belongs to them. They have different forms for all three genders, both in singular and plural, depending on the noun following the adjective. These kinds of possessive adjectives (if they come from personal names) are always written with a capital letter (Ivan – Ivanov, Marta – Martin).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8" w:val="dotted"/>
              <w:left w:color="000000" w:space="0" w:sz="0" w:val="nil"/>
              <w:bottom w:color="000000" w:space="0" w:sz="8"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Masculine nouns add the following endings:</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The most common ending for masculine personal names is –ov. (first name) Ivan: Ivanov</w:t>
            </w:r>
          </w:p>
        </w:tc>
      </w:tr>
      <w:tr>
        <w:trPr>
          <w:cantSplit w:val="0"/>
          <w:tblHeader w:val="0"/>
        </w:trPr>
        <w:tc>
          <w:tcPr>
            <w:tcBorders>
              <w:top w:color="000000" w:space="0" w:sz="8" w:val="dotted"/>
              <w:left w:color="000000" w:space="0" w:sz="0" w:val="nil"/>
              <w:bottom w:color="000000" w:space="0" w:sz="8"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If a masculine name ends in: ć, č, đ, dž, j, lj, nj, š, ž, r</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Personal names will use the ending –ev. (last name) Perić: Perićev</w:t>
            </w:r>
          </w:p>
        </w:tc>
      </w:tr>
      <w:tr>
        <w:trPr>
          <w:cantSplit w:val="0"/>
          <w:tblHeader w:val="0"/>
        </w:trPr>
        <w:tc>
          <w:tcPr>
            <w:tcBorders>
              <w:top w:color="000000" w:space="0" w:sz="8" w:val="dotted"/>
              <w:left w:color="000000" w:space="0" w:sz="0" w:val="nil"/>
              <w:bottom w:color="000000" w:space="0" w:sz="8"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Feminine nouns lose the –a ending and add –in.</w:t>
            </w:r>
          </w:p>
        </w:tc>
      </w:tr>
      <w:tr>
        <w:trPr>
          <w:cantSplit w:val="0"/>
          <w:tblHeader w:val="0"/>
        </w:trPr>
        <w:tc>
          <w:tcPr>
            <w:tcBorders>
              <w:top w:color="000000" w:space="0" w:sz="8" w:val="dotted"/>
              <w:left w:color="000000" w:space="0" w:sz="0" w:val="nil"/>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Feminine nouns will remove the final -a and will add the ending –in.</w:t>
            </w:r>
          </w:p>
          <w:p w:rsidR="00000000" w:rsidDel="00000000" w:rsidP="00000000" w:rsidRDefault="00000000" w:rsidRPr="00000000" w14:paraId="00000042">
            <w:pPr>
              <w:spacing w:line="240" w:lineRule="auto"/>
              <w:rPr/>
            </w:pPr>
            <w:r w:rsidDel="00000000" w:rsidR="00000000" w:rsidRPr="00000000">
              <w:rPr>
                <w:rtl w:val="0"/>
              </w:rPr>
              <w:t xml:space="preserve">Ivana – Ivanin; Jelena – Jelenin; Branka – Brankin</w:t>
            </w:r>
          </w:p>
        </w:tc>
      </w:tr>
    </w:tbl>
    <w:p w:rsidR="00000000" w:rsidDel="00000000" w:rsidP="00000000" w:rsidRDefault="00000000" w:rsidRPr="00000000" w14:paraId="00000043">
      <w:pPr>
        <w:rPr/>
      </w:pPr>
      <w:r w:rsidDel="00000000" w:rsidR="00000000" w:rsidRPr="00000000">
        <w:rPr>
          <w:rtl w:val="0"/>
        </w:rPr>
        <w:t xml:space="preserve">Remember – masculine nouns ending in –a (Ante, Nikola, tata) also use the feminine ending – in for the possessive adjective form (Antin/-a/-o, Nikolin/-a/-o, Andrijin/-a/-o, tatin/-a/-o).</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So how does one make the singular and plural forms for both genders? Look at the following chart. Remember, the possessive adjective form of a personal name (Ivan’s bag, Ivan’s table, etc.) depends on the gender of the noun that they are referring to. For example, if Ivan ‘’possesses’’ a table (stol) – the correct form is to say: Ivanov stol. However, if Ivan ‘’possesses’’ a book (knjiga) – the correct form is: </w:t>
      </w:r>
      <w:r w:rsidDel="00000000" w:rsidR="00000000" w:rsidRPr="00000000">
        <w:rPr>
          <w:i w:val="1"/>
          <w:rtl w:val="0"/>
        </w:rPr>
        <w:t xml:space="preserve">Ivanova knjig</w:t>
      </w:r>
      <w:r w:rsidDel="00000000" w:rsidR="00000000" w:rsidRPr="00000000">
        <w:rPr>
          <w:rtl w:val="0"/>
        </w:rPr>
        <w:t xml:space="preserve">a.</w:t>
      </w:r>
    </w:p>
    <w:p w:rsidR="00000000" w:rsidDel="00000000" w:rsidP="00000000" w:rsidRDefault="00000000" w:rsidRPr="00000000" w14:paraId="00000046">
      <w:pPr>
        <w:rPr/>
      </w:pPr>
      <w:r w:rsidDel="00000000" w:rsidR="00000000" w:rsidRPr="00000000">
        <w:rPr>
          <w:rtl w:val="0"/>
        </w:rPr>
        <w:t xml:space="preserve"> </w:t>
      </w:r>
    </w:p>
    <w:tbl>
      <w:tblPr>
        <w:tblStyle w:val="Table5"/>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330"/>
        <w:gridCol w:w="4065"/>
        <w:tblGridChange w:id="0">
          <w:tblGrid>
            <w:gridCol w:w="1740"/>
            <w:gridCol w:w="3330"/>
            <w:gridCol w:w="4065"/>
          </w:tblGrid>
        </w:tblGridChange>
      </w:tblGrid>
      <w:tr>
        <w:trPr>
          <w:cantSplit w:val="0"/>
          <w:trHeight w:val="455" w:hRule="atLeast"/>
          <w:tblHeader w:val="0"/>
        </w:trPr>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 Gender </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Jednina (singular)</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Množina (plural)</w:t>
            </w:r>
          </w:p>
        </w:tc>
      </w:tr>
      <w:tr>
        <w:trPr>
          <w:cantSplit w:val="0"/>
          <w:trHeight w:val="455" w:hRule="atLeast"/>
          <w:tblHeader w:val="0"/>
        </w:trPr>
        <w:tc>
          <w:tcPr>
            <w:tcBorders>
              <w:top w:color="000000" w:space="0" w:sz="18" w:val="single"/>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masculine</w:t>
            </w:r>
          </w:p>
        </w:tc>
        <w:tc>
          <w:tcPr>
            <w:tcBorders>
              <w:top w:color="000000" w:space="0" w:sz="18" w:val="single"/>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t xml:space="preserve">Ivanov stol.</w:t>
            </w:r>
          </w:p>
        </w:tc>
        <w:tc>
          <w:tcPr>
            <w:tcBorders>
              <w:top w:color="000000" w:space="0" w:sz="18" w:val="single"/>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Ivanovi stolovi.</w:t>
            </w:r>
          </w:p>
        </w:tc>
      </w:tr>
      <w:tr>
        <w:trPr>
          <w:cantSplit w:val="0"/>
          <w:trHeight w:val="455"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feminine</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Ivanova knjiga.</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Ivanove knjige.</w:t>
            </w:r>
          </w:p>
        </w:tc>
      </w:tr>
      <w:tr>
        <w:trPr>
          <w:cantSplit w:val="0"/>
          <w:trHeight w:val="455"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neuter</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Ivanovo dijete.</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Ivanova djeca.</w:t>
            </w:r>
          </w:p>
        </w:tc>
      </w:tr>
    </w:tbl>
    <w:p w:rsidR="00000000" w:rsidDel="00000000" w:rsidP="00000000" w:rsidRDefault="00000000" w:rsidRPr="00000000" w14:paraId="00000053">
      <w:pPr>
        <w:rPr/>
      </w:pPr>
      <w:r w:rsidDel="00000000" w:rsidR="00000000" w:rsidRPr="00000000">
        <w:rPr>
          <w:rtl w:val="0"/>
        </w:rPr>
        <w:t xml:space="preserve"> </w:t>
      </w:r>
    </w:p>
    <w:tbl>
      <w:tblPr>
        <w:tblStyle w:val="Table6"/>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3330"/>
        <w:gridCol w:w="4065"/>
        <w:tblGridChange w:id="0">
          <w:tblGrid>
            <w:gridCol w:w="1740"/>
            <w:gridCol w:w="3330"/>
            <w:gridCol w:w="4065"/>
          </w:tblGrid>
        </w:tblGridChange>
      </w:tblGrid>
      <w:tr>
        <w:trPr>
          <w:cantSplit w:val="0"/>
          <w:trHeight w:val="455" w:hRule="atLeast"/>
          <w:tblHeader w:val="0"/>
        </w:trPr>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 Gender </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Jednina (singular)</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Množina (plural)</w:t>
            </w:r>
          </w:p>
        </w:tc>
      </w:tr>
      <w:tr>
        <w:trPr>
          <w:cantSplit w:val="0"/>
          <w:trHeight w:val="455" w:hRule="atLeast"/>
          <w:tblHeader w:val="0"/>
        </w:trPr>
        <w:tc>
          <w:tcPr>
            <w:tcBorders>
              <w:top w:color="000000" w:space="0" w:sz="0" w:val="nil"/>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masculine</w:t>
            </w:r>
          </w:p>
        </w:tc>
        <w:tc>
          <w:tcPr>
            <w:tcBorders>
              <w:top w:color="000000" w:space="0" w:sz="0" w:val="nil"/>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Anin stol.</w:t>
            </w:r>
          </w:p>
        </w:tc>
        <w:tc>
          <w:tcPr>
            <w:tcBorders>
              <w:top w:color="000000" w:space="0" w:sz="0" w:val="nil"/>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Anini stolovi.</w:t>
            </w:r>
          </w:p>
        </w:tc>
      </w:tr>
      <w:tr>
        <w:trPr>
          <w:cantSplit w:val="0"/>
          <w:trHeight w:val="455"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feminine</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Anina knjiga.</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Anine knjige.</w:t>
            </w:r>
          </w:p>
        </w:tc>
      </w:tr>
      <w:tr>
        <w:trPr>
          <w:cantSplit w:val="0"/>
          <w:trHeight w:val="455" w:hRule="atLeast"/>
          <w:tblHeader w:val="0"/>
        </w:trPr>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neuter</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Anino dijete.</w:t>
            </w:r>
          </w:p>
        </w:tc>
        <w:tc>
          <w:tcPr>
            <w:tcBorders>
              <w:top w:color="000000" w:space="0" w:sz="8" w:val="dotted"/>
              <w:left w:color="000000" w:space="0" w:sz="0" w:val="nil"/>
              <w:bottom w:color="000000" w:space="0" w:sz="8"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Anina djeca.</w:t>
            </w:r>
          </w:p>
        </w:tc>
      </w:tr>
    </w:tbl>
    <w:p w:rsidR="00000000" w:rsidDel="00000000" w:rsidP="00000000" w:rsidRDefault="00000000" w:rsidRPr="00000000" w14:paraId="00000060">
      <w:pPr>
        <w:rPr/>
      </w:pPr>
      <w:r w:rsidDel="00000000" w:rsidR="00000000" w:rsidRPr="00000000">
        <w:rPr>
          <w:rtl w:val="0"/>
        </w:rPr>
        <w:t xml:space="preserve">Some common nouns denoting people (mostly family words and professions) form possessive adjectives in the same way.</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brat</w:t>
            </w:r>
          </w:p>
        </w:tc>
        <w:tc>
          <w:tcPr>
            <w:tcBorders>
              <w:top w:color="ffffff" w:space="0" w:sz="24" w:val="single"/>
              <w:left w:color="ffffff" w:space="0" w:sz="24" w:val="single"/>
              <w:bottom w:color="ffffff" w:space="0" w:sz="24" w:val="single"/>
              <w:right w:color="ffffff" w:space="0" w:sz="24"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prijatelj</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bratov automobil</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prijateljev automobil</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mama</w:t>
            </w:r>
          </w:p>
        </w:tc>
        <w:tc>
          <w:tcPr>
            <w:tcBorders>
              <w:top w:color="ffffff" w:space="0" w:sz="24" w:val="single"/>
              <w:left w:color="ffffff" w:space="0" w:sz="24" w:val="single"/>
              <w:bottom w:color="ffffff" w:space="0" w:sz="24" w:val="single"/>
              <w:right w:color="ffffff" w:space="0" w:sz="24"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sestra</w:t>
            </w:r>
          </w:p>
        </w:tc>
      </w:tr>
      <w:tr>
        <w:trPr>
          <w:cantSplit w:val="0"/>
          <w:tblHeader w:val="0"/>
        </w:trPr>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mamin automobil</w:t>
            </w:r>
          </w:p>
        </w:tc>
        <w:tc>
          <w:tcPr>
            <w:tcBorders>
              <w:top w:color="ffffff" w:space="0" w:sz="24" w:val="single"/>
              <w:left w:color="ffffff" w:space="0" w:sz="24" w:val="single"/>
              <w:bottom w:color="ffffff" w:space="0" w:sz="24" w:val="single"/>
              <w:right w:color="ffffff"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sestrin automobil</w:t>
            </w:r>
          </w:p>
        </w:tc>
      </w:tr>
    </w:tbl>
    <w:p w:rsidR="00000000" w:rsidDel="00000000" w:rsidP="00000000" w:rsidRDefault="00000000" w:rsidRPr="00000000" w14:paraId="00000069">
      <w:pPr>
        <w:pStyle w:val="Heading1"/>
        <w:rPr>
          <w:color w:val="333a91"/>
        </w:rPr>
      </w:pPr>
      <w:bookmarkStart w:colFirst="0" w:colLast="0" w:name="_d5194mm9cfxc" w:id="6"/>
      <w:bookmarkEnd w:id="6"/>
      <w:r w:rsidDel="00000000" w:rsidR="00000000" w:rsidRPr="00000000">
        <w:rPr>
          <w:color w:val="333a91"/>
          <w:rtl w:val="0"/>
        </w:rPr>
        <w:t xml:space="preserve">3.1 Zadatak 12. Tko je to?</w:t>
      </w:r>
    </w:p>
    <w:p w:rsidR="00000000" w:rsidDel="00000000" w:rsidP="00000000" w:rsidRDefault="00000000" w:rsidRPr="00000000" w14:paraId="0000006A">
      <w:pPr>
        <w:rPr/>
      </w:pPr>
      <w:r w:rsidDel="00000000" w:rsidR="00000000" w:rsidRPr="00000000">
        <w:rPr/>
        <w:drawing>
          <wp:inline distB="114300" distT="114300" distL="114300" distR="114300">
            <wp:extent cx="5938838" cy="3992036"/>
            <wp:effectExtent b="0" l="0" r="0" t="0"/>
            <wp:docPr id="2" name="image3.jpg"/>
            <a:graphic>
              <a:graphicData uri="http://schemas.openxmlformats.org/drawingml/2006/picture">
                <pic:pic>
                  <pic:nvPicPr>
                    <pic:cNvPr id="0" name="image3.jpg"/>
                    <pic:cNvPicPr preferRelativeResize="0"/>
                  </pic:nvPicPr>
                  <pic:blipFill>
                    <a:blip r:embed="rId14"/>
                    <a:srcRect b="5300" l="4807" r="8173" t="0"/>
                    <a:stretch>
                      <a:fillRect/>
                    </a:stretch>
                  </pic:blipFill>
                  <pic:spPr>
                    <a:xfrm>
                      <a:off x="0" y="0"/>
                      <a:ext cx="5938838" cy="3992036"/>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[h5p id="359"] </w:t>
      </w:r>
    </w:p>
    <w:p w:rsidR="00000000" w:rsidDel="00000000" w:rsidP="00000000" w:rsidRDefault="00000000" w:rsidRPr="00000000" w14:paraId="0000006C">
      <w:pPr>
        <w:rPr/>
      </w:pPr>
      <w:r w:rsidDel="00000000" w:rsidR="00000000" w:rsidRPr="00000000">
        <w:rPr>
          <w:rtl w:val="0"/>
        </w:rPr>
        <w:t xml:space="preserve">[h5p id="360"]</w:t>
      </w:r>
    </w:p>
    <w:p w:rsidR="00000000" w:rsidDel="00000000" w:rsidP="00000000" w:rsidRDefault="00000000" w:rsidRPr="00000000" w14:paraId="0000006D">
      <w:pPr>
        <w:rPr/>
      </w:pPr>
      <w:r w:rsidDel="00000000" w:rsidR="00000000" w:rsidRPr="00000000">
        <w:rPr>
          <w:rtl w:val="0"/>
        </w:rPr>
        <w:t xml:space="preserve">Images used in this document are from </w:t>
      </w:r>
      <w:hyperlink r:id="rId15">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drawing>
        <wp:inline distB="114300" distT="114300" distL="114300" distR="114300">
          <wp:extent cx="941832" cy="3296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4.png"/>
          <a:graphic>
            <a:graphicData uri="http://schemas.openxmlformats.org/drawingml/2006/picture">
              <pic:pic>
                <pic:nvPicPr>
                  <pic:cNvPr id="0" name="image4.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b w:val="1"/>
        <w:sz w:val="24"/>
        <w:szCs w:val="24"/>
      </w:rPr>
    </w:pPr>
    <w:r w:rsidDel="00000000" w:rsidR="00000000" w:rsidRPr="00000000">
      <w:rPr>
        <w:b w:val="1"/>
        <w:sz w:val="28"/>
        <w:szCs w:val="28"/>
        <w:rtl w:val="0"/>
      </w:rPr>
      <w:t xml:space="preserve">3 |</w:t>
    </w:r>
    <w:r w:rsidDel="00000000" w:rsidR="00000000" w:rsidRPr="00000000">
      <w:rPr>
        <w:b w:val="1"/>
        <w:sz w:val="24"/>
        <w:szCs w:val="24"/>
        <w:rtl w:val="0"/>
      </w:rPr>
      <w:t xml:space="preserve"> Modul 1: Gramatika</w:t>
    </w:r>
  </w:p>
  <w:p w:rsidR="00000000" w:rsidDel="00000000" w:rsidP="00000000" w:rsidRDefault="00000000" w:rsidRPr="00000000" w14:paraId="00000070">
    <w:pPr>
      <w:jc w:val="right"/>
      <w:rPr>
        <w:i w:val="1"/>
        <w:sz w:val="24"/>
        <w:szCs w:val="24"/>
      </w:rPr>
    </w:pPr>
    <w:r w:rsidDel="00000000" w:rsidR="00000000" w:rsidRPr="00000000">
      <w:rPr>
        <w:i w:val="1"/>
        <w:sz w:val="24"/>
        <w:szCs w:val="24"/>
        <w:rtl w:val="0"/>
      </w:rPr>
      <w:t xml:space="preserve">Kakav otac, takav sin</w:t>
    </w:r>
  </w:p>
  <w:p w:rsidR="00000000" w:rsidDel="00000000" w:rsidP="00000000" w:rsidRDefault="00000000" w:rsidRPr="00000000" w14:paraId="00000071">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roatian.takolako.org/wp-content/uploads/ZIVE.mp3" TargetMode="External"/><Relationship Id="rId10" Type="http://schemas.openxmlformats.org/officeDocument/2006/relationships/hyperlink" Target="https://croatian.takolako.org/wp-content/uploads/ZIVI.mp3" TargetMode="External"/><Relationship Id="rId13" Type="http://schemas.openxmlformats.org/officeDocument/2006/relationships/image" Target="media/image2.jpg"/><Relationship Id="rId12" Type="http://schemas.openxmlformats.org/officeDocument/2006/relationships/hyperlink" Target="https://croatian.takolako.org/wp-content/uploads/U2_M1_L1_zadatak_1_1.mp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ZIVITE.mp3" TargetMode="External"/><Relationship Id="rId15" Type="http://schemas.openxmlformats.org/officeDocument/2006/relationships/hyperlink" Target="https://docs.google.com/document/d/1kMYX8HXlacJ2b6CK15MfcZyZp8repH_tTJ9BGugRFF0/edit#heading=h.f4ho5a1njb3w" TargetMode="External"/><Relationship Id="rId14" Type="http://schemas.openxmlformats.org/officeDocument/2006/relationships/image" Target="media/image3.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roatian.takolako.org/wp-content/uploads/ZIVIM.mp3" TargetMode="External"/><Relationship Id="rId7" Type="http://schemas.openxmlformats.org/officeDocument/2006/relationships/hyperlink" Target="https://croatian.takolako.org/wp-content/uploads/ZIVIMO.mp3" TargetMode="External"/><Relationship Id="rId8" Type="http://schemas.openxmlformats.org/officeDocument/2006/relationships/hyperlink" Target="https://croatian.takolako.org/wp-content/uploads/ZIVIS.mp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