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m3vrhd1oyokn" w:id="0"/>
      <w:bookmarkEnd w:id="0"/>
      <w:r w:rsidDel="00000000" w:rsidR="00000000" w:rsidRPr="00000000">
        <w:rPr>
          <w:rtl w:val="0"/>
        </w:rPr>
        <w:t xml:space="preserve">3.3</w:t>
      </w:r>
      <w:r w:rsidDel="00000000" w:rsidR="00000000" w:rsidRPr="00000000">
        <w:rPr>
          <w:rtl w:val="0"/>
        </w:rPr>
        <w:t xml:space="preserve"> - liking things - </w:t>
      </w:r>
      <w:r w:rsidDel="00000000" w:rsidR="00000000" w:rsidRPr="00000000">
        <w:rPr>
          <w:i w:val="1"/>
          <w:iCs w:val="1"/>
          <w:rtl w:val="0"/>
        </w:rPr>
        <w:t xml:space="preserve">mít rád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1881188" cy="1881188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1188" cy="188118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ageBreakBefore w:val="0"/>
        <w:rPr/>
      </w:pPr>
      <w:bookmarkStart w:colFirst="0" w:colLast="0" w:name="_afpn5afwplqn" w:id="1"/>
      <w:bookmarkEnd w:id="1"/>
      <w:r w:rsidDel="00000000" w:rsidR="00000000" w:rsidRPr="00000000">
        <w:rPr>
          <w:rtl w:val="0"/>
        </w:rPr>
        <w:t xml:space="preserve">mít rád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construction for saying that you like someone or something is the verb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mít </w:t>
      </w:r>
      <w:r w:rsidDel="00000000" w:rsidR="00000000" w:rsidRPr="00000000">
        <w:rPr>
          <w:sz w:val="24"/>
          <w:szCs w:val="24"/>
          <w:rtl w:val="0"/>
        </w:rPr>
        <w:t xml:space="preserve"> in combination with the word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rád/a/i</w:t>
      </w:r>
      <w:r w:rsidDel="00000000" w:rsidR="00000000" w:rsidRPr="00000000">
        <w:rPr>
          <w:sz w:val="24"/>
          <w:szCs w:val="24"/>
          <w:rtl w:val="0"/>
        </w:rPr>
        <w:t xml:space="preserve">. The person or thing you like should be put into the accusative case since it is the direct object of your liking. See the following examples: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5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Mám rád guláš.</w:t>
      </w:r>
    </w:p>
    <w:p w:rsidR="00000000" w:rsidDel="00000000" w:rsidP="00000000" w:rsidRDefault="00000000" w:rsidRPr="00000000" w14:paraId="00000008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like goulash.</w:t>
      </w:r>
    </w:p>
    <w:p w:rsidR="00000000" w:rsidDel="00000000" w:rsidP="00000000" w:rsidRDefault="00000000" w:rsidRPr="00000000" w14:paraId="00000009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5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Sára má ráda Václava.</w:t>
      </w:r>
    </w:p>
    <w:p w:rsidR="00000000" w:rsidDel="00000000" w:rsidP="00000000" w:rsidRDefault="00000000" w:rsidRPr="00000000" w14:paraId="0000000B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Sára likes Václav.</w:t>
      </w:r>
    </w:p>
    <w:p w:rsidR="00000000" w:rsidDel="00000000" w:rsidP="00000000" w:rsidRDefault="00000000" w:rsidRPr="00000000" w14:paraId="0000000C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5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Zbyněk a Lucie mají rádi pivo.</w:t>
      </w:r>
    </w:p>
    <w:p w:rsidR="00000000" w:rsidDel="00000000" w:rsidP="00000000" w:rsidRDefault="00000000" w:rsidRPr="00000000" w14:paraId="0000000E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Zbyněk and Lucie like beer.</w:t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verb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mít</w:t>
      </w:r>
      <w:r w:rsidDel="00000000" w:rsidR="00000000" w:rsidRPr="00000000">
        <w:rPr>
          <w:sz w:val="24"/>
          <w:szCs w:val="24"/>
          <w:rtl w:val="0"/>
        </w:rPr>
        <w:t xml:space="preserve"> is conjugated normally </w:t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80.0" w:type="dxa"/>
        <w:jc w:val="left"/>
        <w:tblInd w:w="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2880"/>
        <w:gridCol w:w="1995"/>
        <w:gridCol w:w="2595"/>
        <w:tblGridChange w:id="0">
          <w:tblGrid>
            <w:gridCol w:w="1110"/>
            <w:gridCol w:w="2880"/>
            <w:gridCol w:w="1995"/>
            <w:gridCol w:w="25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já</w:t>
            </w:r>
          </w:p>
        </w:tc>
        <w:tc>
          <w:tcPr>
            <w:tcBorders>
              <w:right w:color="0000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mám rád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mám ráda</w:t>
            </w:r>
          </w:p>
        </w:tc>
        <w:tc>
          <w:tcPr>
            <w:tcBorders>
              <w:left w:color="000000" w:space="0" w:sz="36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máme rádi / rády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ty</w:t>
            </w:r>
          </w:p>
        </w:tc>
        <w:tc>
          <w:tcPr>
            <w:tcBorders>
              <w:right w:color="0000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máš rád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máš ráda</w:t>
            </w:r>
          </w:p>
        </w:tc>
        <w:tc>
          <w:tcPr>
            <w:tcBorders>
              <w:left w:color="000000" w:space="0" w:sz="36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vy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máte rádi / rády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singular formal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máte rád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máte ráda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on, ona, ono</w:t>
            </w:r>
          </w:p>
        </w:tc>
        <w:tc>
          <w:tcPr>
            <w:tcBorders>
              <w:right w:color="0000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 rád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má ráda</w:t>
            </w:r>
          </w:p>
        </w:tc>
        <w:tc>
          <w:tcPr>
            <w:tcBorders>
              <w:left w:color="000000" w:space="0" w:sz="36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oni / ony (ona)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mají rádi / rády</w:t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Subtitle"/>
        <w:pageBreakBefore w:val="0"/>
        <w:rPr>
          <w:i w:val="1"/>
          <w:iCs w:val="1"/>
        </w:rPr>
      </w:pPr>
      <w:bookmarkStart w:colFirst="0" w:colLast="0" w:name="_1o1yiv2j4hml" w:id="2"/>
      <w:bookmarkEnd w:id="2"/>
      <w:r w:rsidDel="00000000" w:rsidR="00000000" w:rsidRPr="00000000">
        <w:rPr>
          <w:rtl w:val="0"/>
        </w:rPr>
        <w:t xml:space="preserve">Expressing you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don’t like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iCs w:val="1"/>
          <w:rtl w:val="0"/>
        </w:rPr>
        <w:t xml:space="preserve">nemít rád</w:t>
      </w:r>
    </w:p>
    <w:p w:rsidR="00000000" w:rsidDel="00000000" w:rsidP="00000000" w:rsidRDefault="00000000" w:rsidRPr="00000000" w14:paraId="00000028">
      <w:pPr>
        <w:pageBreakBefore w:val="0"/>
        <w:rPr>
          <w:b w:val="1"/>
          <w:bCs w:val="1"/>
          <w:i w:val="1"/>
          <w:iCs w:val="1"/>
          <w:sz w:val="24"/>
          <w:szCs w:val="24"/>
        </w:rPr>
      </w:pPr>
      <w:hyperlink r:id="rId9">
        <w:r w:rsidDel="00000000" w:rsidR="00000000" w:rsidRPr="00000000">
          <w:rPr>
            <w:b w:val="1"/>
            <w:bCs w:val="1"/>
            <w:i w:val="1"/>
            <w:iCs w:val="1"/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1871663" cy="1871663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1663" cy="187166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wish to express ‘don’t/doesn’t like’ in Czech, then the verb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mít </w:t>
      </w:r>
      <w:r w:rsidDel="00000000" w:rsidR="00000000" w:rsidRPr="00000000">
        <w:rPr>
          <w:sz w:val="24"/>
          <w:szCs w:val="24"/>
          <w:rtl w:val="0"/>
        </w:rPr>
        <w:t xml:space="preserve">is negated, as in the examples which follow:</w:t>
      </w:r>
    </w:p>
    <w:p w:rsidR="00000000" w:rsidDel="00000000" w:rsidP="00000000" w:rsidRDefault="00000000" w:rsidRPr="00000000" w14:paraId="0000002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5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Nemám rád pivo.</w:t>
      </w:r>
    </w:p>
    <w:p w:rsidR="00000000" w:rsidDel="00000000" w:rsidP="00000000" w:rsidRDefault="00000000" w:rsidRPr="00000000" w14:paraId="0000002C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don’t like beer.</w:t>
      </w:r>
    </w:p>
    <w:p w:rsidR="00000000" w:rsidDel="00000000" w:rsidP="00000000" w:rsidRDefault="00000000" w:rsidRPr="00000000" w14:paraId="0000002D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5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Sára nemá ráda guláš</w:t>
      </w:r>
    </w:p>
    <w:p w:rsidR="00000000" w:rsidDel="00000000" w:rsidP="00000000" w:rsidRDefault="00000000" w:rsidRPr="00000000" w14:paraId="0000002F">
      <w:pPr>
        <w:pageBreakBefore w:val="0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Sára  doesn’t like goulash.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Images used in this document come from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5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rádi </w:t>
      </w:r>
      <w:r w:rsidDel="00000000" w:rsidR="00000000" w:rsidRPr="00000000">
        <w:rPr>
          <w:sz w:val="20"/>
          <w:szCs w:val="20"/>
          <w:rtl w:val="0"/>
        </w:rPr>
        <w:t xml:space="preserve">is used for masculine animate subjects,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rády </w:t>
      </w:r>
      <w:r w:rsidDel="00000000" w:rsidR="00000000" w:rsidRPr="00000000">
        <w:rPr>
          <w:sz w:val="20"/>
          <w:szCs w:val="20"/>
          <w:rtl w:val="0"/>
        </w:rPr>
        <w:t xml:space="preserve">for feminine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docs.google.com/document/d/1JlaI0O7h4GtnAtCG0C7zxTcXZpBmQTS1F4zGv-d11ZE/edit#heading=h.p8s9lxe7cg44" TargetMode="Externa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s://pixabay.com/en/dislike-emoji-round-red-2651768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google.com/url?sa=i&amp;rct=j&amp;q=&amp;esrc=s&amp;source=images&amp;cd=&amp;cad=rja&amp;uact=8&amp;ved=2ahUKEwigopGDqPzdAhUBbK0KHXD6AGsQjxx6BAgBEAI&amp;url=https%3A%2F%2Fpixabay.com%2Fen%2Flike-emoji-round-blue-2651767%2F&amp;psig=AOvVaw0cUO2jyXoGTFtVUo02Clv2&amp;ust=1539275979786421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