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Ano, i když ne moc často. Můj manžel vaří častěji.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 když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even though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častěji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more often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Pavel: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Velice rád vařím, ano.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velice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hodně, velmi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Ráda vařím, ale je to lepší, když mám čas a když nejsem unavená samozřejmě.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lepší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better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unavený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tired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samozřejmě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of course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Umím vařit, ale jenom trochu. - Dobře a rád vaříš? - Ano, vařím rád.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Jako jo, jako jo i ne. Ráda vařím i nevařím. Když mám na to čas, tak jo.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both...and...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když mám na to čas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when I have time for it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