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rPr/>
      </w:pPr>
      <w:bookmarkStart w:colFirst="0" w:colLast="0" w:name="_q0xsrdepxnuv" w:id="0"/>
      <w:bookmarkEnd w:id="0"/>
      <w:r w:rsidDel="00000000" w:rsidR="00000000" w:rsidRPr="00000000">
        <w:rPr>
          <w:rtl w:val="0"/>
        </w:rPr>
        <w:t xml:space="preserve">3.10 - Accusative of Personal Pronouns After Prepositions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In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3.10 - accusative of personal pronouns</w:t>
        </w:r>
      </w:hyperlink>
      <w:r w:rsidDel="00000000" w:rsidR="00000000" w:rsidRPr="00000000">
        <w:rPr>
          <w:rtl w:val="0"/>
        </w:rPr>
        <w:t xml:space="preserve"> we learned about the short and long forms of pronouns in the accusative case. In this lesson we will learn one other place that long forms and a few extra forms.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Long forms - </w:t>
      </w:r>
      <w:r w:rsidDel="00000000" w:rsidR="00000000" w:rsidRPr="00000000">
        <w:rPr>
          <w:sz w:val="24"/>
          <w:szCs w:val="24"/>
          <w:rtl w:val="0"/>
        </w:rPr>
        <w:t xml:space="preserve">use t</w:t>
      </w:r>
      <w:r w:rsidDel="00000000" w:rsidR="00000000" w:rsidRPr="00000000">
        <w:rPr>
          <w:rtl w:val="0"/>
        </w:rPr>
        <w:t xml:space="preserve">hese forms after prepositions that require the accusative: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1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15"/>
        <w:gridCol w:w="1560"/>
        <w:gridCol w:w="1005"/>
        <w:gridCol w:w="1050"/>
        <w:gridCol w:w="900"/>
        <w:gridCol w:w="1335"/>
        <w:gridCol w:w="930"/>
        <w:gridCol w:w="915"/>
        <w:tblGridChange w:id="0">
          <w:tblGrid>
            <w:gridCol w:w="915"/>
            <w:gridCol w:w="1560"/>
            <w:gridCol w:w="1005"/>
            <w:gridCol w:w="1050"/>
            <w:gridCol w:w="900"/>
            <w:gridCol w:w="1335"/>
            <w:gridCol w:w="930"/>
            <w:gridCol w:w="9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0" w:right="1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0" w:right="14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short forms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0" w:right="14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long forms</w:t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0" w:right="14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0" w:right="14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short forms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0" w:right="14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long forms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0" w:right="1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já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0" w:right="1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mě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b6dd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0" w:right="14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mě (mne)</w:t>
            </w:r>
          </w:p>
        </w:tc>
        <w:tc>
          <w:tcPr>
            <w:tcBorders>
              <w:left w:color="000000" w:space="0" w:sz="1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0" w:right="1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my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0" w:right="14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nás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b6dd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0" w:right="14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nás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0" w:right="1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ty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0" w:right="1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tě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b6dd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0" w:right="14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tebe</w:t>
            </w:r>
          </w:p>
        </w:tc>
        <w:tc>
          <w:tcPr>
            <w:tcBorders>
              <w:left w:color="000000" w:space="0" w:sz="1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0" w:right="1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vy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0" w:right="14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vás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b6dd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0" w:right="14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vás</w:t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tcBorders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0" w:right="1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0" w:right="1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0" w:right="1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jeho / jej</w:t>
            </w:r>
          </w:p>
        </w:tc>
        <w:tc>
          <w:tcPr>
            <w:tcBorders>
              <w:bottom w:color="000000" w:space="0" w:sz="8" w:val="single"/>
              <w:right w:color="000000" w:space="0" w:sz="18" w:val="single"/>
            </w:tcBorders>
            <w:shd w:fill="b6dd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right="3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něh</w:t>
            </w:r>
            <w:r w:rsidDel="00000000" w:rsidR="00000000" w:rsidRPr="00000000">
              <w:rPr>
                <w:b w:val="1"/>
                <w:rtl w:val="0"/>
              </w:rPr>
              <w:t xml:space="preserve">o / něj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0" w:right="1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oni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0" w:right="14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0" w:right="1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</w:t>
            </w:r>
          </w:p>
        </w:tc>
        <w:tc>
          <w:tcPr>
            <w:tcBorders>
              <w:bottom w:color="000000" w:space="0" w:sz="8" w:val="single"/>
              <w:right w:color="000000" w:space="0" w:sz="0" w:val="nil"/>
            </w:tcBorders>
            <w:shd w:fill="b6dd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0" w:right="1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ně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0" w:right="1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ona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0" w:right="1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ji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0" w:right="1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ji</w:t>
            </w:r>
          </w:p>
        </w:tc>
        <w:tc>
          <w:tcPr>
            <w:tcBorders>
              <w:bottom w:color="000000" w:space="0" w:sz="8" w:val="single"/>
              <w:right w:color="000000" w:space="0" w:sz="18" w:val="single"/>
            </w:tcBorders>
            <w:shd w:fill="b6dd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0" w:right="14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ni</w:t>
            </w:r>
          </w:p>
        </w:tc>
        <w:tc>
          <w:tcPr>
            <w:gridSpan w:val="4"/>
            <w:tcBorders>
              <w:left w:color="000000" w:space="0" w:sz="18" w:val="single"/>
              <w:bottom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0" w:right="1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0" w:right="1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ono</w:t>
            </w:r>
          </w:p>
        </w:tc>
        <w:tc>
          <w:tcPr>
            <w:tcBorders>
              <w:bottom w:color="000000" w:space="0" w:sz="0" w:val="nil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0" w:right="1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</w:t>
            </w:r>
          </w:p>
        </w:tc>
        <w:tc>
          <w:tcPr>
            <w:tcBorders>
              <w:bottom w:color="000000" w:space="0" w:sz="0" w:val="nil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0" w:right="14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jeho</w:t>
            </w:r>
          </w:p>
        </w:tc>
        <w:tc>
          <w:tcPr>
            <w:tcBorders>
              <w:bottom w:color="000000" w:space="0" w:sz="0" w:val="nil"/>
              <w:right w:color="000000" w:space="0" w:sz="18" w:val="single"/>
            </w:tcBorders>
            <w:shd w:fill="b6dd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0" w:right="14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něho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18" w:val="single"/>
              <w:bottom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0" w:right="1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Long forms of personal pronouns are used after prepositions (in addition to when there is emphasis/contrast/etc.). You will never find short forms of personal pronouns after prepositions.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Mám pro </w:t>
      </w:r>
      <w:r w:rsidDel="00000000" w:rsidR="00000000" w:rsidRPr="00000000">
        <w:rPr>
          <w:b w:val="1"/>
          <w:i w:val="1"/>
          <w:rtl w:val="0"/>
        </w:rPr>
        <w:t xml:space="preserve">tebe </w:t>
      </w:r>
      <w:r w:rsidDel="00000000" w:rsidR="00000000" w:rsidRPr="00000000">
        <w:rPr>
          <w:i w:val="1"/>
          <w:rtl w:val="0"/>
        </w:rPr>
        <w:t xml:space="preserve">dárek.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firstLine="0"/>
        <w:rPr/>
      </w:pPr>
      <w:r w:rsidDel="00000000" w:rsidR="00000000" w:rsidRPr="00000000">
        <w:rPr>
          <w:rtl w:val="0"/>
        </w:rPr>
        <w:t xml:space="preserve">I have a gift for you.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Kupuju pro </w:t>
      </w:r>
      <w:r w:rsidDel="00000000" w:rsidR="00000000" w:rsidRPr="00000000">
        <w:rPr>
          <w:b w:val="1"/>
          <w:i w:val="1"/>
          <w:rtl w:val="0"/>
        </w:rPr>
        <w:t xml:space="preserve">vás </w:t>
      </w:r>
      <w:r w:rsidDel="00000000" w:rsidR="00000000" w:rsidRPr="00000000">
        <w:rPr>
          <w:i w:val="1"/>
          <w:rtl w:val="0"/>
        </w:rPr>
        <w:t xml:space="preserve">něco k pití.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firstLine="0"/>
        <w:rPr/>
      </w:pPr>
      <w:r w:rsidDel="00000000" w:rsidR="00000000" w:rsidRPr="00000000">
        <w:rPr>
          <w:rtl w:val="0"/>
        </w:rPr>
        <w:t xml:space="preserve">I’m buying something to drink for you (all).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Special forms of third person pronouns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The long forms of the third person pronouns (</w:t>
      </w:r>
      <w:r w:rsidDel="00000000" w:rsidR="00000000" w:rsidRPr="00000000">
        <w:rPr>
          <w:i w:val="1"/>
          <w:rtl w:val="0"/>
        </w:rPr>
        <w:t xml:space="preserve">jeho, jej, ji, je</w:t>
      </w:r>
      <w:r w:rsidDel="00000000" w:rsidR="00000000" w:rsidRPr="00000000">
        <w:rPr>
          <w:rtl w:val="0"/>
        </w:rPr>
        <w:t xml:space="preserve">) have special n-forms after prepositions (</w:t>
      </w:r>
      <w:r w:rsidDel="00000000" w:rsidR="00000000" w:rsidRPr="00000000">
        <w:rPr>
          <w:i w:val="1"/>
          <w:rtl w:val="0"/>
        </w:rPr>
        <w:t xml:space="preserve">něho, něj, ni, ně</w:t>
      </w:r>
      <w:r w:rsidDel="00000000" w:rsidR="00000000" w:rsidRPr="00000000">
        <w:rPr>
          <w:rtl w:val="0"/>
        </w:rPr>
        <w:t xml:space="preserve"> -- </w:t>
      </w:r>
      <w:r w:rsidDel="00000000" w:rsidR="00000000" w:rsidRPr="00000000">
        <w:rPr>
          <w:rtl w:val="0"/>
        </w:rPr>
        <w:t xml:space="preserve">see chart above)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Máme pro </w:t>
      </w:r>
      <w:r w:rsidDel="00000000" w:rsidR="00000000" w:rsidRPr="00000000">
        <w:rPr>
          <w:b w:val="1"/>
          <w:i w:val="1"/>
          <w:rtl w:val="0"/>
        </w:rPr>
        <w:t xml:space="preserve">ni </w:t>
      </w:r>
      <w:r w:rsidDel="00000000" w:rsidR="00000000" w:rsidRPr="00000000">
        <w:rPr>
          <w:i w:val="1"/>
          <w:rtl w:val="0"/>
        </w:rPr>
        <w:t xml:space="preserve">dárek.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firstLine="0"/>
        <w:rPr/>
      </w:pPr>
      <w:r w:rsidDel="00000000" w:rsidR="00000000" w:rsidRPr="00000000">
        <w:rPr>
          <w:rtl w:val="0"/>
        </w:rPr>
        <w:t xml:space="preserve">We have a gift for her.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ind w:left="54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Kupuju pro </w:t>
      </w:r>
      <w:r w:rsidDel="00000000" w:rsidR="00000000" w:rsidRPr="00000000">
        <w:rPr>
          <w:b w:val="1"/>
          <w:i w:val="1"/>
          <w:rtl w:val="0"/>
        </w:rPr>
        <w:t xml:space="preserve">ně </w:t>
      </w:r>
      <w:r w:rsidDel="00000000" w:rsidR="00000000" w:rsidRPr="00000000">
        <w:rPr>
          <w:i w:val="1"/>
          <w:rtl w:val="0"/>
        </w:rPr>
        <w:t xml:space="preserve">potraviny.</w:t>
      </w:r>
    </w:p>
    <w:p w:rsidR="00000000" w:rsidDel="00000000" w:rsidP="00000000" w:rsidRDefault="00000000" w:rsidRPr="00000000" w14:paraId="00000047">
      <w:pPr>
        <w:pageBreakBefore w:val="0"/>
        <w:ind w:left="540" w:firstLine="0"/>
        <w:rPr/>
      </w:pPr>
      <w:r w:rsidDel="00000000" w:rsidR="00000000" w:rsidRPr="00000000">
        <w:rPr>
          <w:rtl w:val="0"/>
        </w:rPr>
        <w:t xml:space="preserve">I am buying groceries for them.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realityczech.org/accusative-of-personal-pronou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