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spacing w:after="200" w:line="240" w:lineRule="auto"/>
        <w:rPr/>
      </w:pPr>
      <w:bookmarkStart w:colFirst="0" w:colLast="0" w:name="_ylsh6235d510" w:id="0"/>
      <w:bookmarkEnd w:id="0"/>
      <w:r w:rsidDel="00000000" w:rsidR="00000000" w:rsidRPr="00000000">
        <w:rPr>
          <w:rtl w:val="0"/>
        </w:rPr>
        <w:t xml:space="preserve">8.9 - Locative Plural of Nouns</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200" w:line="240" w:lineRule="auto"/>
        <w:rPr>
          <w:sz w:val="24"/>
          <w:szCs w:val="24"/>
        </w:rPr>
      </w:pPr>
      <w:bookmarkStart w:colFirst="0" w:colLast="0" w:name="_1h3ndqxfexx7" w:id="1"/>
      <w:bookmarkEnd w:id="1"/>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200" w:line="240" w:lineRule="auto"/>
        <w:rPr>
          <w:sz w:val="24"/>
          <w:szCs w:val="24"/>
        </w:rPr>
      </w:pPr>
      <w:bookmarkStart w:colFirst="0" w:colLast="0" w:name="_rnpfdsgi9ak1" w:id="2"/>
      <w:bookmarkEnd w:id="2"/>
      <w:r w:rsidDel="00000000" w:rsidR="00000000" w:rsidRPr="00000000">
        <w:rPr>
          <w:sz w:val="24"/>
          <w:szCs w:val="24"/>
          <w:rtl w:val="0"/>
        </w:rPr>
        <w:t xml:space="preserve">Ok, now we’re going to learn the locative plural of nouns. The good thing? All the endings are similar. This means that it will be easy to recognize these forms in writing and speech.</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200" w:line="240" w:lineRule="auto"/>
        <w:rPr>
          <w:sz w:val="24"/>
          <w:szCs w:val="24"/>
        </w:rPr>
      </w:pPr>
      <w:bookmarkStart w:colFirst="0" w:colLast="0" w:name="_acc64t340zs7" w:id="3"/>
      <w:bookmarkEnd w:id="3"/>
      <w:r w:rsidDel="00000000" w:rsidR="00000000" w:rsidRPr="00000000">
        <w:rPr>
          <w:sz w:val="24"/>
          <w:szCs w:val="24"/>
          <w:rtl w:val="0"/>
        </w:rPr>
        <w:t xml:space="preserve">The bad thing? All the endings are similar.</w:t>
      </w:r>
    </w:p>
    <w:p w:rsidR="00000000" w:rsidDel="00000000" w:rsidP="00000000" w:rsidRDefault="00000000" w:rsidRPr="00000000" w14:paraId="00000005">
      <w:pPr>
        <w:pStyle w:val="Subtitle"/>
        <w:pageBreakBefore w:val="0"/>
        <w:spacing w:after="200" w:line="240" w:lineRule="auto"/>
        <w:rPr/>
      </w:pPr>
      <w:bookmarkStart w:colFirst="0" w:colLast="0" w:name="_5pnd1lgrxggn" w:id="4"/>
      <w:bookmarkEnd w:id="4"/>
      <w:r w:rsidDel="00000000" w:rsidR="00000000" w:rsidRPr="00000000">
        <w:rPr>
          <w:rtl w:val="0"/>
        </w:rPr>
        <w:t xml:space="preserve">Nouns</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200" w:line="240" w:lineRule="auto"/>
        <w:rPr>
          <w:sz w:val="24"/>
          <w:szCs w:val="24"/>
        </w:rPr>
      </w:pPr>
      <w:bookmarkStart w:colFirst="0" w:colLast="0" w:name="_99htx3etopa7" w:id="5"/>
      <w:bookmarkEnd w:id="5"/>
      <w:r w:rsidDel="00000000" w:rsidR="00000000" w:rsidRPr="00000000">
        <w:rPr>
          <w:sz w:val="24"/>
          <w:szCs w:val="24"/>
          <w:rtl w:val="0"/>
        </w:rPr>
        <w:t xml:space="preserve">The following chart gives the endings for the locative plural in Czech:</w:t>
      </w:r>
    </w:p>
    <w:tbl>
      <w:tblPr>
        <w:tblStyle w:val="Table1"/>
        <w:tblW w:w="93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1880"/>
        <w:gridCol w:w="1800"/>
        <w:gridCol w:w="1880"/>
        <w:gridCol w:w="1880"/>
        <w:tblGridChange w:id="0">
          <w:tblGrid>
            <w:gridCol w:w="1920"/>
            <w:gridCol w:w="1880"/>
            <w:gridCol w:w="1800"/>
            <w:gridCol w:w="1880"/>
            <w:gridCol w:w="1880"/>
          </w:tblGrid>
        </w:tblGridChange>
      </w:tblGrid>
      <w:tr>
        <w:trPr>
          <w:cantSplit w:val="0"/>
          <w:tblHeader w:val="0"/>
        </w:trPr>
        <w:tc>
          <w:tcPr>
            <w:shd w:fill="ffffff" w:val="clear"/>
          </w:tcPr>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rtl w:val="0"/>
              </w:rPr>
            </w:r>
          </w:p>
        </w:tc>
        <w:tc>
          <w:tcPr>
            <w:shd w:fill="ffffff" w:val="clear"/>
          </w:tcPr>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MA</w:t>
            </w:r>
          </w:p>
        </w:tc>
        <w:tc>
          <w:tcPr>
            <w:shd w:fill="ffffff" w:val="clear"/>
          </w:tcPr>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MI</w:t>
            </w:r>
          </w:p>
        </w:tc>
        <w:tc>
          <w:tcPr>
            <w:shd w:fill="ffffff" w:val="clear"/>
          </w:tcPr>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F</w:t>
            </w:r>
          </w:p>
        </w:tc>
        <w:tc>
          <w:tcPr>
            <w:shd w:fill="ffffff" w:val="clear"/>
          </w:tcPr>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N</w:t>
            </w:r>
          </w:p>
        </w:tc>
      </w:tr>
      <w:tr>
        <w:trPr>
          <w:cantSplit w:val="0"/>
          <w:trHeight w:val="340" w:hRule="atLeast"/>
          <w:tblHeader w:val="0"/>
        </w:trPr>
        <w:tc>
          <w:tcPr>
            <w:vMerge w:val="restart"/>
            <w:shd w:fill="ffffff" w:val="clear"/>
            <w:vAlign w:val="center"/>
          </w:tcPr>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Hard stem</w:t>
            </w:r>
          </w:p>
        </w:tc>
        <w:tc>
          <w:tcPr>
            <w:gridSpan w:val="2"/>
            <w:shd w:fill="ffffff" w:val="clear"/>
            <w:vAlign w:val="center"/>
          </w:tcPr>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-ech</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studentech</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bratrech</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stolech</w:t>
            </w:r>
          </w:p>
        </w:tc>
        <w:tc>
          <w:tcPr>
            <w:vMerge w:val="restart"/>
            <w:shd w:fill="ffffff" w:val="clear"/>
            <w:vAlign w:val="center"/>
          </w:tcPr>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-ách</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v kavárnách</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knihách</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holkách</w:t>
            </w:r>
          </w:p>
        </w:tc>
        <w:tc>
          <w:tcPr>
            <w:shd w:fill="ffffff" w:val="clear"/>
            <w:vAlign w:val="center"/>
          </w:tcPr>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-ech</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oknech</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pivech</w:t>
            </w:r>
          </w:p>
        </w:tc>
      </w:tr>
      <w:tr>
        <w:trPr>
          <w:cantSplit w:val="0"/>
          <w:trHeight w:val="1260" w:hRule="atLeast"/>
          <w:tblHeader w:val="0"/>
        </w:trPr>
        <w:tc>
          <w:tcPr>
            <w:vMerge w:val="continue"/>
            <w:shd w:fill="ffffff" w:val="clear"/>
            <w:vAlign w:val="center"/>
          </w:tcPr>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rtl w:val="0"/>
              </w:rPr>
            </w:r>
          </w:p>
        </w:tc>
        <w:tc>
          <w:tcPr>
            <w:gridSpan w:val="2"/>
            <w:shd w:fill="ffffff" w:val="clear"/>
            <w:vAlign w:val="center"/>
          </w:tcPr>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-ích</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(after k, h, g, ch -- see </w:t>
            </w:r>
            <w:hyperlink r:id="rId6">
              <w:r w:rsidDel="00000000" w:rsidR="00000000" w:rsidRPr="00000000">
                <w:rPr>
                  <w:color w:val="1155cc"/>
                  <w:sz w:val="24"/>
                  <w:szCs w:val="24"/>
                  <w:u w:val="single"/>
                  <w:rtl w:val="0"/>
                </w:rPr>
                <w:t xml:space="preserve">chart</w:t>
              </w:r>
            </w:hyperlink>
            <w:r w:rsidDel="00000000" w:rsidR="00000000" w:rsidRPr="00000000">
              <w:rPr>
                <w:sz w:val="24"/>
                <w:szCs w:val="24"/>
                <w:rtl w:val="0"/>
              </w:rPr>
              <w:t xml:space="preserve">)</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klucích</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v parcích</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jazycích</w:t>
            </w:r>
          </w:p>
        </w:tc>
        <w:tc>
          <w:tcPr>
            <w:vMerge w:val="continue"/>
            <w:shd w:fill="ffffff" w:val="clear"/>
            <w:vAlign w:val="center"/>
          </w:tcPr>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-ách</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(after k, h, g, ch)</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jablkách</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pivkách</w:t>
            </w:r>
          </w:p>
        </w:tc>
      </w:tr>
      <w:tr>
        <w:trPr>
          <w:cantSplit w:val="0"/>
          <w:trHeight w:val="340" w:hRule="atLeast"/>
          <w:tblHeader w:val="0"/>
        </w:trPr>
        <w:tc>
          <w:tcPr>
            <w:vMerge w:val="restart"/>
            <w:shd w:fill="ffffff" w:val="clear"/>
            <w:vAlign w:val="center"/>
          </w:tcPr>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Soft stem</w:t>
            </w:r>
          </w:p>
        </w:tc>
        <w:tc>
          <w:tcPr>
            <w:vMerge w:val="restart"/>
            <w:shd w:fill="ffffff" w:val="clear"/>
            <w:vAlign w:val="center"/>
          </w:tcPr>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-ích</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sportovcích</w:t>
            </w:r>
          </w:p>
        </w:tc>
        <w:tc>
          <w:tcPr>
            <w:vMerge w:val="restart"/>
            <w:shd w:fill="ffffff" w:val="clear"/>
            <w:vAlign w:val="center"/>
          </w:tcPr>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-ích</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počítačích</w:t>
            </w:r>
          </w:p>
        </w:tc>
        <w:tc>
          <w:tcPr>
            <w:shd w:fill="ffffff" w:val="clear"/>
            <w:vAlign w:val="center"/>
          </w:tcPr>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line="240" w:lineRule="auto"/>
              <w:jc w:val="left"/>
              <w:rPr>
                <w:sz w:val="24"/>
                <w:szCs w:val="24"/>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-ích</w:t>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učebnicích</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kolejích</w:t>
            </w:r>
          </w:p>
        </w:tc>
        <w:tc>
          <w:tcPr>
            <w:vMerge w:val="restart"/>
            <w:shd w:fill="ffffff" w:val="clear"/>
            <w:vAlign w:val="center"/>
          </w:tcPr>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-ích</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mořích</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letištích</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náměstích</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rtl w:val="0"/>
              </w:rPr>
            </w:r>
          </w:p>
        </w:tc>
      </w:tr>
      <w:tr>
        <w:trPr>
          <w:cantSplit w:val="0"/>
          <w:trHeight w:val="240" w:hRule="atLeast"/>
          <w:tblHeader w:val="0"/>
        </w:trPr>
        <w:tc>
          <w:tcPr>
            <w:vMerge w:val="continue"/>
            <w:shd w:fill="ffffff" w:val="clear"/>
            <w:vAlign w:val="center"/>
          </w:tcPr>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line="240" w:lineRule="auto"/>
              <w:jc w:val="center"/>
              <w:rPr>
                <w:b w:val="1"/>
                <w:sz w:val="24"/>
                <w:szCs w:val="24"/>
              </w:rPr>
            </w:pPr>
            <w:r w:rsidDel="00000000" w:rsidR="00000000" w:rsidRPr="00000000">
              <w:rPr>
                <w:b w:val="1"/>
                <w:sz w:val="24"/>
                <w:szCs w:val="24"/>
                <w:rtl w:val="0"/>
              </w:rPr>
              <w:t xml:space="preserve">-ech</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sz w:val="24"/>
                <w:szCs w:val="24"/>
                <w:rtl w:val="0"/>
              </w:rPr>
              <w:t xml:space="preserve">o věcech</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center"/>
              <w:rPr>
                <w:sz w:val="24"/>
                <w:szCs w:val="24"/>
              </w:rPr>
            </w:pPr>
            <w:r w:rsidDel="00000000" w:rsidR="00000000" w:rsidRPr="00000000">
              <w:rPr>
                <w:rtl w:val="0"/>
              </w:rPr>
            </w:r>
          </w:p>
        </w:tc>
      </w:tr>
    </w:tbl>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tbl>
      <w:tblPr>
        <w:tblStyle w:val="Table2"/>
        <w:tblW w:w="9360.0" w:type="dxa"/>
        <w:jc w:val="left"/>
        <w:tblLayout w:type="fixed"/>
        <w:tblLook w:val="0600"/>
      </w:tblPr>
      <w:tblGrid>
        <w:gridCol w:w="4890"/>
        <w:gridCol w:w="4470"/>
        <w:tblGridChange w:id="0">
          <w:tblGrid>
            <w:gridCol w:w="4890"/>
            <w:gridCol w:w="44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So you probably can tell that all the endings end in the letter </w:t>
            </w:r>
            <w:r w:rsidDel="00000000" w:rsidR="00000000" w:rsidRPr="00000000">
              <w:rPr>
                <w:i w:val="1"/>
                <w:sz w:val="24"/>
                <w:szCs w:val="24"/>
                <w:rtl w:val="0"/>
              </w:rPr>
              <w:t xml:space="preserve">ch</w:t>
            </w:r>
            <w:r w:rsidDel="00000000" w:rsidR="00000000" w:rsidRPr="00000000">
              <w:rPr>
                <w:sz w:val="24"/>
                <w:szCs w:val="24"/>
                <w:rtl w:val="0"/>
              </w:rPr>
              <w:t xml:space="preserve">. All you have to do is figure out what vowel is going to go before. That can get a little annoying, considering that they all seem a pretty idiosyncratic. The best bet going forward is to try to drill these forms using notecards or similar tools.</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If you are speaking and can’t remember, pretty much any of these endings will do. Even if it’s not totally correct, you will still be understood.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spacing w:line="240" w:lineRule="auto"/>
              <w:jc w:val="center"/>
              <w:rPr>
                <w:sz w:val="24"/>
                <w:szCs w:val="24"/>
              </w:rPr>
            </w:pPr>
            <w:hyperlink r:id="rId7">
              <w:r w:rsidDel="00000000" w:rsidR="00000000" w:rsidRPr="00000000">
                <w:rPr>
                  <w:color w:val="1155cc"/>
                  <w:sz w:val="24"/>
                  <w:szCs w:val="24"/>
                  <w:u w:val="single"/>
                </w:rPr>
                <w:drawing>
                  <wp:inline distB="114300" distT="114300" distL="114300" distR="114300">
                    <wp:extent cx="1852613" cy="3344995"/>
                    <wp:effectExtent b="0" l="0" r="0" t="0"/>
                    <wp:docPr id="4" name="image1.png"/>
                    <a:graphic>
                      <a:graphicData uri="http://schemas.openxmlformats.org/drawingml/2006/picture">
                        <pic:pic>
                          <pic:nvPicPr>
                            <pic:cNvPr id="0" name="image1.png"/>
                            <pic:cNvPicPr preferRelativeResize="0"/>
                          </pic:nvPicPr>
                          <pic:blipFill>
                            <a:blip r:embed="rId8"/>
                            <a:srcRect b="0" l="0" r="0" t="1509"/>
                            <a:stretch>
                              <a:fillRect/>
                            </a:stretch>
                          </pic:blipFill>
                          <pic:spPr>
                            <a:xfrm>
                              <a:off x="0" y="0"/>
                              <a:ext cx="1852613" cy="3344995"/>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Here are some examples. Reminder that so far we have learned the locative after the following prepositions in Czech:</w:t>
      </w:r>
    </w:p>
    <w:p w:rsidR="00000000" w:rsidDel="00000000" w:rsidP="00000000" w:rsidRDefault="00000000" w:rsidRPr="00000000" w14:paraId="00000045">
      <w:pPr>
        <w:pageBreakBefore w:val="0"/>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46">
      <w:pPr>
        <w:pageBreakBefore w:val="0"/>
        <w:spacing w:line="240" w:lineRule="auto"/>
        <w:ind w:firstLine="720"/>
        <w:rPr>
          <w:sz w:val="24"/>
          <w:szCs w:val="24"/>
        </w:rPr>
      </w:pPr>
      <w:r w:rsidDel="00000000" w:rsidR="00000000" w:rsidRPr="00000000">
        <w:rPr>
          <w:i w:val="1"/>
          <w:sz w:val="24"/>
          <w:szCs w:val="24"/>
          <w:rtl w:val="0"/>
        </w:rPr>
        <w:t xml:space="preserve">v/ve </w:t>
      </w:r>
      <w:r w:rsidDel="00000000" w:rsidR="00000000" w:rsidRPr="00000000">
        <w:rPr>
          <w:sz w:val="24"/>
          <w:szCs w:val="24"/>
          <w:rtl w:val="0"/>
        </w:rPr>
        <w:t xml:space="preserve">‘in, at’</w:t>
      </w:r>
    </w:p>
    <w:p w:rsidR="00000000" w:rsidDel="00000000" w:rsidP="00000000" w:rsidRDefault="00000000" w:rsidRPr="00000000" w14:paraId="00000047">
      <w:pPr>
        <w:pageBreakBefore w:val="0"/>
        <w:spacing w:line="240" w:lineRule="auto"/>
        <w:ind w:left="540" w:firstLine="180"/>
        <w:rPr>
          <w:sz w:val="24"/>
          <w:szCs w:val="24"/>
        </w:rPr>
      </w:pPr>
      <w:r w:rsidDel="00000000" w:rsidR="00000000" w:rsidRPr="00000000">
        <w:rPr>
          <w:i w:val="1"/>
          <w:sz w:val="24"/>
          <w:szCs w:val="24"/>
          <w:rtl w:val="0"/>
        </w:rPr>
        <w:t xml:space="preserve">na </w:t>
      </w:r>
      <w:r w:rsidDel="00000000" w:rsidR="00000000" w:rsidRPr="00000000">
        <w:rPr>
          <w:sz w:val="24"/>
          <w:szCs w:val="24"/>
          <w:rtl w:val="0"/>
        </w:rPr>
        <w:t xml:space="preserve">‘on, at’</w:t>
      </w:r>
    </w:p>
    <w:p w:rsidR="00000000" w:rsidDel="00000000" w:rsidP="00000000" w:rsidRDefault="00000000" w:rsidRPr="00000000" w14:paraId="00000048">
      <w:pPr>
        <w:pageBreakBefore w:val="0"/>
        <w:spacing w:line="240" w:lineRule="auto"/>
        <w:ind w:left="540" w:firstLine="180"/>
        <w:rPr>
          <w:sz w:val="24"/>
          <w:szCs w:val="24"/>
        </w:rPr>
      </w:pPr>
      <w:r w:rsidDel="00000000" w:rsidR="00000000" w:rsidRPr="00000000">
        <w:rPr>
          <w:rtl w:val="0"/>
        </w:rPr>
      </w:r>
    </w:p>
    <w:p w:rsidR="00000000" w:rsidDel="00000000" w:rsidP="00000000" w:rsidRDefault="00000000" w:rsidRPr="00000000" w14:paraId="00000049">
      <w:pPr>
        <w:pageBreakBefore w:val="0"/>
        <w:spacing w:line="240" w:lineRule="auto"/>
        <w:ind w:left="540" w:firstLine="180"/>
        <w:rPr>
          <w:sz w:val="24"/>
          <w:szCs w:val="24"/>
        </w:rPr>
      </w:pPr>
      <w:r w:rsidDel="00000000" w:rsidR="00000000" w:rsidRPr="00000000">
        <w:rPr>
          <w:i w:val="1"/>
          <w:sz w:val="24"/>
          <w:szCs w:val="24"/>
          <w:rtl w:val="0"/>
        </w:rPr>
        <w:t xml:space="preserve">o </w:t>
      </w:r>
      <w:r w:rsidDel="00000000" w:rsidR="00000000" w:rsidRPr="00000000">
        <w:rPr>
          <w:sz w:val="24"/>
          <w:szCs w:val="24"/>
          <w:rtl w:val="0"/>
        </w:rPr>
        <w:t xml:space="preserve">‘about’</w:t>
      </w:r>
    </w:p>
    <w:p w:rsidR="00000000" w:rsidDel="00000000" w:rsidP="00000000" w:rsidRDefault="00000000" w:rsidRPr="00000000" w14:paraId="0000004A">
      <w:pPr>
        <w:pageBreakBefore w:val="0"/>
        <w:spacing w:line="240" w:lineRule="auto"/>
        <w:ind w:left="540" w:firstLine="180"/>
        <w:rPr>
          <w:sz w:val="24"/>
          <w:szCs w:val="24"/>
        </w:rPr>
      </w:pPr>
      <w:r w:rsidDel="00000000" w:rsidR="00000000" w:rsidRPr="00000000">
        <w:rPr>
          <w:sz w:val="24"/>
          <w:szCs w:val="24"/>
          <w:rtl w:val="0"/>
        </w:rPr>
        <w:t xml:space="preserve">po ‘after’</w:t>
      </w:r>
    </w:p>
    <w:p w:rsidR="00000000" w:rsidDel="00000000" w:rsidP="00000000" w:rsidRDefault="00000000" w:rsidRPr="00000000" w14:paraId="0000004B">
      <w:pPr>
        <w:pageBreakBefore w:val="0"/>
        <w:spacing w:line="240" w:lineRule="auto"/>
        <w:ind w:left="0" w:firstLine="0"/>
        <w:rPr>
          <w:sz w:val="24"/>
          <w:szCs w:val="24"/>
        </w:rPr>
      </w:pPr>
      <w:r w:rsidDel="00000000" w:rsidR="00000000" w:rsidRPr="00000000">
        <w:rPr>
          <w:rtl w:val="0"/>
        </w:rPr>
      </w:r>
    </w:p>
    <w:p w:rsidR="00000000" w:rsidDel="00000000" w:rsidP="00000000" w:rsidRDefault="00000000" w:rsidRPr="00000000" w14:paraId="0000004C">
      <w:pPr>
        <w:pageBreakBefore w:val="0"/>
        <w:spacing w:line="240" w:lineRule="auto"/>
        <w:ind w:left="0" w:firstLine="0"/>
        <w:rPr>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9">
              <w:r w:rsidDel="00000000" w:rsidR="00000000" w:rsidRPr="00000000">
                <w:rPr>
                  <w:color w:val="1155cc"/>
                  <w:sz w:val="24"/>
                  <w:szCs w:val="24"/>
                  <w:u w:val="single"/>
                </w:rPr>
                <w:drawing>
                  <wp:inline distB="114300" distT="114300" distL="114300" distR="114300">
                    <wp:extent cx="1847850" cy="12319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847850" cy="1231900"/>
                            </a:xfrm>
                            <a:prstGeom prst="rect"/>
                            <a:ln/>
                          </pic:spPr>
                        </pic:pic>
                      </a:graphicData>
                    </a:graphic>
                  </wp:inline>
                </w:drawing>
              </w:r>
            </w:hyperlink>
            <w:r w:rsidDel="00000000" w:rsidR="00000000" w:rsidRPr="00000000">
              <w:rPr>
                <w:rtl w:val="0"/>
              </w:rPr>
            </w:r>
          </w:p>
        </w:tc>
        <w:tc>
          <w:tcPr>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11">
              <w:r w:rsidDel="00000000" w:rsidR="00000000" w:rsidRPr="00000000">
                <w:rPr>
                  <w:color w:val="1155cc"/>
                  <w:sz w:val="24"/>
                  <w:szCs w:val="24"/>
                  <w:u w:val="single"/>
                </w:rPr>
                <w:drawing>
                  <wp:inline distB="114300" distT="114300" distL="114300" distR="114300">
                    <wp:extent cx="1847850" cy="1231211"/>
                    <wp:effectExtent b="0" l="0" r="0" t="0"/>
                    <wp:docPr id="2" name="image3.png"/>
                    <a:graphic>
                      <a:graphicData uri="http://schemas.openxmlformats.org/drawingml/2006/picture">
                        <pic:pic>
                          <pic:nvPicPr>
                            <pic:cNvPr id="0" name="image3.png"/>
                            <pic:cNvPicPr preferRelativeResize="0"/>
                          </pic:nvPicPr>
                          <pic:blipFill>
                            <a:blip r:embed="rId12"/>
                            <a:srcRect b="28902" l="0" r="0" t="27913"/>
                            <a:stretch>
                              <a:fillRect/>
                            </a:stretch>
                          </pic:blipFill>
                          <pic:spPr>
                            <a:xfrm>
                              <a:off x="0" y="0"/>
                              <a:ext cx="1847850" cy="1231211"/>
                            </a:xfrm>
                            <a:prstGeom prst="rect"/>
                            <a:ln/>
                          </pic:spPr>
                        </pic:pic>
                      </a:graphicData>
                    </a:graphic>
                  </wp:inline>
                </w:drawing>
              </w:r>
            </w:hyperlink>
            <w:r w:rsidDel="00000000" w:rsidR="00000000" w:rsidRPr="00000000">
              <w:rPr>
                <w:rtl w:val="0"/>
              </w:rPr>
            </w:r>
          </w:p>
        </w:tc>
        <w:tc>
          <w:tcPr>
            <w:tcBorders>
              <w:top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13">
              <w:r w:rsidDel="00000000" w:rsidR="00000000" w:rsidRPr="00000000">
                <w:rPr>
                  <w:color w:val="1155cc"/>
                  <w:sz w:val="24"/>
                  <w:szCs w:val="24"/>
                  <w:u w:val="single"/>
                </w:rPr>
                <w:drawing>
                  <wp:inline distB="114300" distT="114300" distL="114300" distR="114300">
                    <wp:extent cx="1847850" cy="1237180"/>
                    <wp:effectExtent b="0" l="0" r="0" t="0"/>
                    <wp:docPr id="1" name="image2.png"/>
                    <a:graphic>
                      <a:graphicData uri="http://schemas.openxmlformats.org/drawingml/2006/picture">
                        <pic:pic>
                          <pic:nvPicPr>
                            <pic:cNvPr id="0" name="image2.png"/>
                            <pic:cNvPicPr preferRelativeResize="0"/>
                          </pic:nvPicPr>
                          <pic:blipFill>
                            <a:blip r:embed="rId14"/>
                            <a:srcRect b="0" l="0" r="0" t="10736"/>
                            <a:stretch>
                              <a:fillRect/>
                            </a:stretch>
                          </pic:blipFill>
                          <pic:spPr>
                            <a:xfrm>
                              <a:off x="0" y="0"/>
                              <a:ext cx="1847850" cy="1237180"/>
                            </a:xfrm>
                            <a:prstGeom prst="rect"/>
                            <a:ln/>
                          </pic:spPr>
                        </pic:pic>
                      </a:graphicData>
                    </a:graphic>
                  </wp:inline>
                </w:drawing>
              </w:r>
            </w:hyperlink>
            <w:r w:rsidDel="00000000" w:rsidR="00000000" w:rsidRPr="00000000">
              <w:rPr>
                <w:rtl w:val="0"/>
              </w:rPr>
            </w:r>
          </w:p>
        </w:tc>
      </w:tr>
      <w:tr>
        <w:trPr>
          <w:cantSplit w:val="0"/>
          <w:tblHeader w:val="0"/>
        </w:trPr>
        <w:tc>
          <w:tcPr>
            <w:tcBorders>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i w:val="1"/>
                <w:sz w:val="24"/>
                <w:szCs w:val="24"/>
                <w:rtl w:val="0"/>
              </w:rPr>
              <w:t xml:space="preserve">Mluvili jsme </w:t>
            </w:r>
            <w:r w:rsidDel="00000000" w:rsidR="00000000" w:rsidRPr="00000000">
              <w:rPr>
                <w:b w:val="1"/>
                <w:i w:val="1"/>
                <w:sz w:val="24"/>
                <w:szCs w:val="24"/>
                <w:rtl w:val="0"/>
              </w:rPr>
              <w:t xml:space="preserve">o profesorech</w:t>
            </w:r>
            <w:r w:rsidDel="00000000" w:rsidR="00000000" w:rsidRPr="00000000">
              <w:rPr>
                <w:i w:val="1"/>
                <w:sz w:val="24"/>
                <w:szCs w:val="24"/>
                <w:rtl w:val="0"/>
              </w:rPr>
              <w:t xml:space="preserve"> na promoci.</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We were talking about the professors at graduation.</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i w:val="1"/>
                <w:sz w:val="24"/>
                <w:szCs w:val="24"/>
                <w:rtl w:val="0"/>
              </w:rPr>
              <w:t xml:space="preserve">Tvoje brýle jsou </w:t>
            </w:r>
            <w:r w:rsidDel="00000000" w:rsidR="00000000" w:rsidRPr="00000000">
              <w:rPr>
                <w:b w:val="1"/>
                <w:i w:val="1"/>
                <w:sz w:val="24"/>
                <w:szCs w:val="24"/>
                <w:rtl w:val="0"/>
              </w:rPr>
              <w:t xml:space="preserve">na knihách </w:t>
            </w:r>
            <w:r w:rsidDel="00000000" w:rsidR="00000000" w:rsidRPr="00000000">
              <w:rPr>
                <w:i w:val="1"/>
                <w:sz w:val="24"/>
                <w:szCs w:val="24"/>
                <w:rtl w:val="0"/>
              </w:rPr>
              <w:t xml:space="preserve">na stole.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Your glasses are on the books on the table. </w:t>
            </w:r>
          </w:p>
        </w:tc>
        <w:tc>
          <w:tcPr>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i w:val="1"/>
                <w:sz w:val="24"/>
                <w:szCs w:val="24"/>
                <w:rtl w:val="0"/>
              </w:rPr>
              <w:t xml:space="preserve">Stu</w:t>
            </w:r>
            <w:r w:rsidDel="00000000" w:rsidR="00000000" w:rsidRPr="00000000">
              <w:rPr>
                <w:i w:val="1"/>
                <w:sz w:val="24"/>
                <w:szCs w:val="24"/>
                <w:rtl w:val="0"/>
              </w:rPr>
              <w:t xml:space="preserve">denti často </w:t>
            </w:r>
            <w:r w:rsidDel="00000000" w:rsidR="00000000" w:rsidRPr="00000000">
              <w:rPr>
                <w:i w:val="1"/>
                <w:sz w:val="24"/>
                <w:szCs w:val="24"/>
                <w:rtl w:val="0"/>
              </w:rPr>
              <w:t xml:space="preserve">bydlí </w:t>
            </w:r>
            <w:r w:rsidDel="00000000" w:rsidR="00000000" w:rsidRPr="00000000">
              <w:rPr>
                <w:b w:val="1"/>
                <w:i w:val="1"/>
                <w:sz w:val="24"/>
                <w:szCs w:val="24"/>
                <w:rtl w:val="0"/>
              </w:rPr>
              <w:t xml:space="preserve">na kolejích</w:t>
            </w:r>
            <w:r w:rsidDel="00000000" w:rsidR="00000000" w:rsidRPr="00000000">
              <w:rPr>
                <w:i w:val="1"/>
                <w:sz w:val="24"/>
                <w:szCs w:val="24"/>
                <w:rtl w:val="0"/>
              </w:rPr>
              <w:t xml:space="preserv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Students often live in dorms.</w:t>
            </w:r>
          </w:p>
        </w:tc>
      </w:tr>
    </w:tbl>
    <w:p w:rsidR="00000000" w:rsidDel="00000000" w:rsidP="00000000" w:rsidRDefault="00000000" w:rsidRPr="00000000" w14:paraId="00000056">
      <w:pPr>
        <w:pageBreakBefore w:val="0"/>
        <w:spacing w:line="240" w:lineRule="auto"/>
        <w:ind w:left="0" w:firstLine="0"/>
        <w:rPr>
          <w:sz w:val="24"/>
          <w:szCs w:val="24"/>
        </w:rPr>
      </w:pPr>
      <w:r w:rsidDel="00000000" w:rsidR="00000000" w:rsidRPr="00000000">
        <w:rPr>
          <w:rtl w:val="0"/>
        </w:rPr>
      </w:r>
    </w:p>
    <w:p w:rsidR="00000000" w:rsidDel="00000000" w:rsidP="00000000" w:rsidRDefault="00000000" w:rsidRPr="00000000" w14:paraId="00000057">
      <w:pPr>
        <w:pageBreakBefore w:val="0"/>
        <w:spacing w:line="240" w:lineRule="auto"/>
        <w:ind w:left="0" w:firstLine="0"/>
        <w:rPr>
          <w:sz w:val="24"/>
          <w:szCs w:val="24"/>
        </w:rPr>
      </w:pPr>
      <w:r w:rsidDel="00000000" w:rsidR="00000000" w:rsidRPr="00000000">
        <w:rPr>
          <w:rtl w:val="0"/>
        </w:rPr>
      </w:r>
    </w:p>
    <w:p w:rsidR="00000000" w:rsidDel="00000000" w:rsidP="00000000" w:rsidRDefault="00000000" w:rsidRPr="00000000" w14:paraId="00000058">
      <w:pPr>
        <w:pageBreakBefore w:val="0"/>
        <w:rPr>
          <w:sz w:val="24"/>
          <w:szCs w:val="24"/>
        </w:rPr>
      </w:pPr>
      <w:r w:rsidDel="00000000" w:rsidR="00000000" w:rsidRPr="00000000">
        <w:rPr>
          <w:sz w:val="24"/>
          <w:szCs w:val="24"/>
          <w:rtl w:val="0"/>
        </w:rPr>
        <w:t xml:space="preserve">Images used in this document come from </w:t>
      </w:r>
      <w:hyperlink r:id="rId15">
        <w:r w:rsidDel="00000000" w:rsidR="00000000" w:rsidRPr="00000000">
          <w:rPr>
            <w:color w:val="1155cc"/>
            <w:sz w:val="24"/>
            <w:szCs w:val="24"/>
            <w:u w:val="single"/>
            <w:rtl w:val="0"/>
          </w:rPr>
          <w:t xml:space="preserve">these sources</w:t>
        </w:r>
      </w:hyperlink>
      <w:r w:rsidDel="00000000" w:rsidR="00000000" w:rsidRPr="00000000">
        <w:rPr>
          <w:sz w:val="24"/>
          <w:szCs w:val="24"/>
          <w:rtl w:val="0"/>
        </w:rPr>
        <w:t xml:space="preserve">.</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freestockphotos.biz/stockphoto/15975" TargetMode="External"/><Relationship Id="rId10" Type="http://schemas.openxmlformats.org/officeDocument/2006/relationships/image" Target="media/image4.png"/><Relationship Id="rId13" Type="http://schemas.openxmlformats.org/officeDocument/2006/relationships/hyperlink" Target="https://commons.wikimedia.org/wiki/File:Koleje_BCD,_%C4%8CZU_Praha.JPG"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mmons.wikimedia.org/wiki/File:Promoce_na_FMV_V%C5%A0E.jpg" TargetMode="External"/><Relationship Id="rId15" Type="http://schemas.openxmlformats.org/officeDocument/2006/relationships/hyperlink" Target="https://docs.google.com/document/d/1HQqSIqnOQo0_cjj3ZbBSyDe-fgq1AEZhIxgZ_W4CIUA/edit#heading=h.uf02wdltz5p9" TargetMode="Externa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docs.google.com/document/d/15O7ere007EUHVoZGfy34XSZydKYIyDIG9Cdf-VmS4u4/edit?usp=sharing" TargetMode="External"/><Relationship Id="rId7" Type="http://schemas.openxmlformats.org/officeDocument/2006/relationships/hyperlink" Target="https://pixabay.com/en/question-worry-wonder-unsure-310891/"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