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ddnuldlvcj9y" w:id="0"/>
      <w:bookmarkEnd w:id="0"/>
      <w:r w:rsidDel="00000000" w:rsidR="00000000" w:rsidRPr="00000000">
        <w:rPr>
          <w:rtl w:val="0"/>
        </w:rPr>
        <w:t xml:space="preserve">4.7 - Describing Clothes - Colors</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We’ve already gotten practice using our basic color adjectives in describing clothes – </w:t>
      </w:r>
    </w:p>
    <w:p w:rsidR="00000000" w:rsidDel="00000000" w:rsidP="00000000" w:rsidRDefault="00000000" w:rsidRPr="00000000" w14:paraId="00000004">
      <w:pPr>
        <w:pageBreakBefore w:val="0"/>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000000" w:space="0" w:sz="0" w:val="nil"/>
              <w:left w:color="000000" w:space="0" w:sz="0" w:val="nil"/>
              <w:bottom w:color="000000" w:space="0" w:sz="0" w:val="nil"/>
            </w:tcBorders>
            <w:shd w:fill="ff0000"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pPr>
            <w:r w:rsidDel="00000000" w:rsidR="00000000" w:rsidRPr="00000000">
              <w:rPr>
                <w:rtl w:val="0"/>
              </w:rPr>
            </w:r>
          </w:p>
          <w:p w:rsidR="00000000" w:rsidDel="00000000" w:rsidP="00000000" w:rsidRDefault="00000000" w:rsidRPr="00000000" w14:paraId="00000006">
            <w:pPr>
              <w:pageBreakBefore w:val="0"/>
              <w:widowControl w:val="0"/>
              <w:spacing w:line="240" w:lineRule="auto"/>
              <w:jc w:val="center"/>
              <w:rPr>
                <w:highlight w:val="white"/>
              </w:rPr>
            </w:pPr>
            <w:r w:rsidDel="00000000" w:rsidR="00000000" w:rsidRPr="00000000">
              <w:rPr>
                <w:highlight w:val="white"/>
                <w:rtl w:val="0"/>
              </w:rPr>
              <w:t xml:space="preserve">červená</w:t>
            </w:r>
          </w:p>
        </w:tc>
        <w:tc>
          <w:tcPr>
            <w:vMerge w:val="restart"/>
            <w:tcBorders>
              <w:top w:color="000000" w:space="0" w:sz="0" w:val="nil"/>
              <w:bottom w:color="000000" w:space="0" w:sz="0" w:val="nil"/>
            </w:tcBorders>
            <w:shd w:fill="0000ff"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highlight w:val="darkBlue"/>
              </w:rPr>
            </w:pPr>
            <w:r w:rsidDel="00000000" w:rsidR="00000000" w:rsidRPr="00000000">
              <w:rPr>
                <w:rtl w:val="0"/>
              </w:rPr>
            </w:r>
          </w:p>
          <w:p w:rsidR="00000000" w:rsidDel="00000000" w:rsidP="00000000" w:rsidRDefault="00000000" w:rsidRPr="00000000" w14:paraId="00000008">
            <w:pPr>
              <w:pageBreakBefore w:val="0"/>
              <w:widowControl w:val="0"/>
              <w:spacing w:line="240" w:lineRule="auto"/>
              <w:jc w:val="center"/>
              <w:rPr>
                <w:highlight w:val="white"/>
              </w:rPr>
            </w:pPr>
            <w:r w:rsidDel="00000000" w:rsidR="00000000" w:rsidRPr="00000000">
              <w:rPr>
                <w:highlight w:val="white"/>
                <w:rtl w:val="0"/>
              </w:rPr>
              <w:t xml:space="preserve">modrá</w:t>
            </w:r>
          </w:p>
        </w:tc>
        <w:tc>
          <w:tcPr>
            <w:vMerge w:val="restart"/>
            <w:tcBorders>
              <w:top w:color="000000" w:space="0" w:sz="0" w:val="nil"/>
              <w:bottom w:color="000000" w:space="0" w:sz="0" w:val="nil"/>
            </w:tcBorders>
            <w:shd w:fill="6aa84f"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pPr>
            <w:r w:rsidDel="00000000" w:rsidR="00000000" w:rsidRPr="00000000">
              <w:rPr>
                <w:rtl w:val="0"/>
              </w:rPr>
            </w:r>
          </w:p>
          <w:p w:rsidR="00000000" w:rsidDel="00000000" w:rsidP="00000000" w:rsidRDefault="00000000" w:rsidRPr="00000000" w14:paraId="0000000A">
            <w:pPr>
              <w:pageBreakBefore w:val="0"/>
              <w:widowControl w:val="0"/>
              <w:spacing w:line="240" w:lineRule="auto"/>
              <w:jc w:val="center"/>
              <w:rPr>
                <w:highlight w:val="white"/>
              </w:rPr>
            </w:pPr>
            <w:r w:rsidDel="00000000" w:rsidR="00000000" w:rsidRPr="00000000">
              <w:rPr>
                <w:highlight w:val="white"/>
                <w:rtl w:val="0"/>
              </w:rPr>
              <w:t xml:space="preserve">zelená</w:t>
            </w:r>
          </w:p>
        </w:tc>
        <w:tc>
          <w:tcPr>
            <w:vMerge w:val="restart"/>
            <w:tcBorders>
              <w:top w:color="000000" w:space="0" w:sz="0" w:val="nil"/>
              <w:bottom w:color="000000" w:space="0" w:sz="0" w:val="nil"/>
            </w:tcBorders>
            <w:shd w:fill="ffff00"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pPr>
            <w:r w:rsidDel="00000000" w:rsidR="00000000" w:rsidRPr="00000000">
              <w:rPr>
                <w:rtl w:val="0"/>
              </w:rPr>
            </w:r>
          </w:p>
          <w:p w:rsidR="00000000" w:rsidDel="00000000" w:rsidP="00000000" w:rsidRDefault="00000000" w:rsidRPr="00000000" w14:paraId="0000000C">
            <w:pPr>
              <w:pageBreakBefore w:val="0"/>
              <w:widowControl w:val="0"/>
              <w:spacing w:line="240" w:lineRule="auto"/>
              <w:jc w:val="center"/>
              <w:rPr>
                <w:highlight w:val="white"/>
              </w:rPr>
            </w:pPr>
            <w:r w:rsidDel="00000000" w:rsidR="00000000" w:rsidRPr="00000000">
              <w:rPr>
                <w:highlight w:val="white"/>
                <w:rtl w:val="0"/>
              </w:rPr>
              <w:t xml:space="preserve">žlutá</w:t>
            </w:r>
          </w:p>
        </w:tc>
        <w:tc>
          <w:tcPr>
            <w:vMerge w:val="restart"/>
            <w:tcBorders>
              <w:top w:color="000000" w:space="0" w:sz="0" w:val="nil"/>
              <w:bottom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pPr>
            <w:r w:rsidDel="00000000" w:rsidR="00000000" w:rsidRPr="00000000">
              <w:rPr>
                <w:rtl w:val="0"/>
              </w:rPr>
            </w:r>
          </w:p>
          <w:p w:rsidR="00000000" w:rsidDel="00000000" w:rsidP="00000000" w:rsidRDefault="00000000" w:rsidRPr="00000000" w14:paraId="0000000E">
            <w:pPr>
              <w:pageBreakBefore w:val="0"/>
              <w:widowControl w:val="0"/>
              <w:spacing w:line="240" w:lineRule="auto"/>
              <w:jc w:val="center"/>
              <w:rPr>
                <w:highlight w:val="white"/>
              </w:rPr>
            </w:pPr>
            <w:r w:rsidDel="00000000" w:rsidR="00000000" w:rsidRPr="00000000">
              <w:rPr>
                <w:highlight w:val="white"/>
                <w:rtl w:val="0"/>
              </w:rPr>
              <w:t xml:space="preserve">bílá</w:t>
            </w:r>
          </w:p>
        </w:tc>
        <w:tc>
          <w:tcPr>
            <w:vMerge w:val="restart"/>
            <w:tcBorders>
              <w:top w:color="000000" w:space="0" w:sz="0" w:val="nil"/>
              <w:bottom w:color="000000" w:space="0" w:sz="0" w:val="nil"/>
              <w:right w:color="000000" w:space="0" w:sz="0" w:val="nil"/>
            </w:tcBorders>
            <w:shd w:fill="e7e7cf"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pPr>
            <w:r w:rsidDel="00000000" w:rsidR="00000000" w:rsidRPr="00000000">
              <w:rPr>
                <w:rtl w:val="0"/>
              </w:rPr>
            </w:r>
          </w:p>
          <w:p w:rsidR="00000000" w:rsidDel="00000000" w:rsidP="00000000" w:rsidRDefault="00000000" w:rsidRPr="00000000" w14:paraId="00000010">
            <w:pPr>
              <w:pageBreakBefore w:val="0"/>
              <w:widowControl w:val="0"/>
              <w:spacing w:line="240" w:lineRule="auto"/>
              <w:jc w:val="center"/>
              <w:rPr>
                <w:highlight w:val="white"/>
              </w:rPr>
            </w:pPr>
            <w:r w:rsidDel="00000000" w:rsidR="00000000" w:rsidRPr="00000000">
              <w:rPr>
                <w:highlight w:val="white"/>
                <w:rtl w:val="0"/>
              </w:rPr>
              <w:t xml:space="preserve">béžová</w:t>
            </w:r>
          </w:p>
        </w:tc>
      </w:tr>
      <w:tr>
        <w:trPr>
          <w:cantSplit w:val="0"/>
          <w:trHeight w:val="440" w:hRule="atLeast"/>
          <w:tblHeader w:val="0"/>
        </w:trPr>
        <w:tc>
          <w:tcPr>
            <w:vMerge w:val="continue"/>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right w:color="000000" w:space="0" w:sz="0" w:val="nil"/>
            </w:tcBorders>
            <w:shd w:fill="e7e7cf"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after="0" w:before="0" w:line="240" w:lineRule="auto"/>
              <w:ind w:left="0" w:firstLine="0"/>
              <w:jc w:val="center"/>
              <w:rPr>
                <w:highlight w:val="white"/>
              </w:rPr>
            </w:pPr>
            <w:r w:rsidDel="00000000" w:rsidR="00000000" w:rsidRPr="00000000">
              <w:rPr>
                <w:rtl w:val="0"/>
              </w:rPr>
            </w:r>
          </w:p>
        </w:tc>
      </w:tr>
    </w:tbl>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000000" w:space="0" w:sz="0" w:val="nil"/>
              <w:left w:color="000000" w:space="0" w:sz="0" w:val="nil"/>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pageBreakBefore w:val="0"/>
              <w:spacing w:line="240" w:lineRule="auto"/>
              <w:rPr/>
            </w:pPr>
            <w:r w:rsidDel="00000000" w:rsidR="00000000" w:rsidRPr="00000000">
              <w:rPr>
                <w:rtl w:val="0"/>
              </w:rPr>
            </w:r>
          </w:p>
          <w:p w:rsidR="00000000" w:rsidDel="00000000" w:rsidP="00000000" w:rsidRDefault="00000000" w:rsidRPr="00000000" w14:paraId="0000001A">
            <w:pPr>
              <w:pageBreakBefore w:val="0"/>
              <w:spacing w:line="240" w:lineRule="auto"/>
              <w:jc w:val="center"/>
              <w:rPr>
                <w:highlight w:val="white"/>
              </w:rPr>
            </w:pPr>
            <w:r w:rsidDel="00000000" w:rsidR="00000000" w:rsidRPr="00000000">
              <w:rPr>
                <w:highlight w:val="white"/>
                <w:rtl w:val="0"/>
              </w:rPr>
              <w:t xml:space="preserve">černá</w:t>
            </w:r>
          </w:p>
        </w:tc>
        <w:tc>
          <w:tcPr>
            <w:vMerge w:val="restart"/>
            <w:tcBorders>
              <w:top w:color="000000" w:space="0" w:sz="0" w:val="nil"/>
              <w:bottom w:color="000000" w:space="0" w:sz="0" w:val="nil"/>
            </w:tcBorders>
            <w:shd w:fill="ff9900" w:val="clear"/>
            <w:tcMar>
              <w:top w:w="100.0" w:type="dxa"/>
              <w:left w:w="100.0" w:type="dxa"/>
              <w:bottom w:w="100.0" w:type="dxa"/>
              <w:right w:w="100.0" w:type="dxa"/>
            </w:tcMar>
            <w:vAlign w:val="top"/>
          </w:tcPr>
          <w:p w:rsidR="00000000" w:rsidDel="00000000" w:rsidP="00000000" w:rsidRDefault="00000000" w:rsidRPr="00000000" w14:paraId="0000001B">
            <w:pPr>
              <w:pageBreakBefore w:val="0"/>
              <w:spacing w:line="240" w:lineRule="auto"/>
              <w:rPr>
                <w:highlight w:val="darkBlue"/>
              </w:rPr>
            </w:pPr>
            <w:r w:rsidDel="00000000" w:rsidR="00000000" w:rsidRPr="00000000">
              <w:rPr>
                <w:rtl w:val="0"/>
              </w:rPr>
            </w:r>
          </w:p>
          <w:p w:rsidR="00000000" w:rsidDel="00000000" w:rsidP="00000000" w:rsidRDefault="00000000" w:rsidRPr="00000000" w14:paraId="0000001C">
            <w:pPr>
              <w:pageBreakBefore w:val="0"/>
              <w:spacing w:line="240" w:lineRule="auto"/>
              <w:jc w:val="center"/>
              <w:rPr>
                <w:highlight w:val="white"/>
              </w:rPr>
            </w:pPr>
            <w:r w:rsidDel="00000000" w:rsidR="00000000" w:rsidRPr="00000000">
              <w:rPr>
                <w:highlight w:val="white"/>
                <w:rtl w:val="0"/>
              </w:rPr>
              <w:t xml:space="preserve">oranžová</w:t>
            </w:r>
          </w:p>
        </w:tc>
        <w:tc>
          <w:tcPr>
            <w:vMerge w:val="restart"/>
            <w:tcBorders>
              <w:top w:color="000000" w:space="0" w:sz="0" w:val="nil"/>
              <w:bottom w:color="000000" w:space="0" w:sz="0" w:val="nil"/>
            </w:tcBorders>
            <w:shd w:fill="9900ff" w:val="clear"/>
            <w:tcMar>
              <w:top w:w="100.0" w:type="dxa"/>
              <w:left w:w="100.0" w:type="dxa"/>
              <w:bottom w:w="100.0" w:type="dxa"/>
              <w:right w:w="100.0" w:type="dxa"/>
            </w:tcMar>
            <w:vAlign w:val="top"/>
          </w:tcPr>
          <w:p w:rsidR="00000000" w:rsidDel="00000000" w:rsidP="00000000" w:rsidRDefault="00000000" w:rsidRPr="00000000" w14:paraId="0000001D">
            <w:pPr>
              <w:pageBreakBefore w:val="0"/>
              <w:spacing w:line="240" w:lineRule="auto"/>
              <w:rPr/>
            </w:pPr>
            <w:r w:rsidDel="00000000" w:rsidR="00000000" w:rsidRPr="00000000">
              <w:rPr>
                <w:rtl w:val="0"/>
              </w:rPr>
            </w:r>
          </w:p>
          <w:p w:rsidR="00000000" w:rsidDel="00000000" w:rsidP="00000000" w:rsidRDefault="00000000" w:rsidRPr="00000000" w14:paraId="0000001E">
            <w:pPr>
              <w:pageBreakBefore w:val="0"/>
              <w:spacing w:line="240" w:lineRule="auto"/>
              <w:jc w:val="center"/>
              <w:rPr>
                <w:highlight w:val="white"/>
              </w:rPr>
            </w:pPr>
            <w:r w:rsidDel="00000000" w:rsidR="00000000" w:rsidRPr="00000000">
              <w:rPr>
                <w:highlight w:val="white"/>
                <w:rtl w:val="0"/>
              </w:rPr>
              <w:t xml:space="preserve">fialová</w:t>
            </w:r>
          </w:p>
        </w:tc>
        <w:tc>
          <w:tcPr>
            <w:vMerge w:val="restart"/>
            <w:tcBorders>
              <w:top w:color="000000" w:space="0" w:sz="0" w:val="nil"/>
              <w:bottom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1F">
            <w:pPr>
              <w:pageBreakBefore w:val="0"/>
              <w:spacing w:line="240" w:lineRule="auto"/>
              <w:rPr/>
            </w:pPr>
            <w:r w:rsidDel="00000000" w:rsidR="00000000" w:rsidRPr="00000000">
              <w:rPr>
                <w:rtl w:val="0"/>
              </w:rPr>
            </w:r>
          </w:p>
          <w:p w:rsidR="00000000" w:rsidDel="00000000" w:rsidP="00000000" w:rsidRDefault="00000000" w:rsidRPr="00000000" w14:paraId="00000020">
            <w:pPr>
              <w:pageBreakBefore w:val="0"/>
              <w:spacing w:line="240" w:lineRule="auto"/>
              <w:jc w:val="center"/>
              <w:rPr>
                <w:highlight w:val="white"/>
              </w:rPr>
            </w:pPr>
            <w:r w:rsidDel="00000000" w:rsidR="00000000" w:rsidRPr="00000000">
              <w:rPr>
                <w:highlight w:val="white"/>
                <w:rtl w:val="0"/>
              </w:rPr>
              <w:t xml:space="preserve">šedá</w:t>
            </w:r>
          </w:p>
        </w:tc>
        <w:tc>
          <w:tcPr>
            <w:vMerge w:val="restart"/>
            <w:tcBorders>
              <w:top w:color="000000" w:space="0" w:sz="0" w:val="nil"/>
              <w:bottom w:color="000000" w:space="0" w:sz="0" w:val="nil"/>
            </w:tcBorders>
            <w:shd w:fill="783f04" w:val="clear"/>
            <w:tcMar>
              <w:top w:w="100.0" w:type="dxa"/>
              <w:left w:w="100.0" w:type="dxa"/>
              <w:bottom w:w="100.0" w:type="dxa"/>
              <w:right w:w="100.0" w:type="dxa"/>
            </w:tcMar>
            <w:vAlign w:val="top"/>
          </w:tcPr>
          <w:p w:rsidR="00000000" w:rsidDel="00000000" w:rsidP="00000000" w:rsidRDefault="00000000" w:rsidRPr="00000000" w14:paraId="00000021">
            <w:pPr>
              <w:pageBreakBefore w:val="0"/>
              <w:spacing w:line="240" w:lineRule="auto"/>
              <w:rPr/>
            </w:pPr>
            <w:r w:rsidDel="00000000" w:rsidR="00000000" w:rsidRPr="00000000">
              <w:rPr>
                <w:rtl w:val="0"/>
              </w:rPr>
            </w:r>
          </w:p>
          <w:p w:rsidR="00000000" w:rsidDel="00000000" w:rsidP="00000000" w:rsidRDefault="00000000" w:rsidRPr="00000000" w14:paraId="00000022">
            <w:pPr>
              <w:pageBreakBefore w:val="0"/>
              <w:spacing w:line="240" w:lineRule="auto"/>
              <w:jc w:val="center"/>
              <w:rPr>
                <w:highlight w:val="white"/>
              </w:rPr>
            </w:pPr>
            <w:r w:rsidDel="00000000" w:rsidR="00000000" w:rsidRPr="00000000">
              <w:rPr>
                <w:highlight w:val="white"/>
                <w:rtl w:val="0"/>
              </w:rPr>
              <w:t xml:space="preserve">hnědá</w:t>
            </w:r>
          </w:p>
        </w:tc>
        <w:tc>
          <w:tcPr>
            <w:vMerge w:val="restart"/>
            <w:tcBorders>
              <w:top w:color="000000" w:space="0" w:sz="0" w:val="nil"/>
              <w:bottom w:color="000000" w:space="0" w:sz="0" w:val="nil"/>
              <w:right w:color="000000" w:space="0" w:sz="0" w:val="nil"/>
            </w:tcBorders>
            <w:shd w:fill="fc7cff"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line="240" w:lineRule="auto"/>
              <w:rPr/>
            </w:pPr>
            <w:r w:rsidDel="00000000" w:rsidR="00000000" w:rsidRPr="00000000">
              <w:rPr>
                <w:rtl w:val="0"/>
              </w:rPr>
            </w:r>
          </w:p>
          <w:p w:rsidR="00000000" w:rsidDel="00000000" w:rsidP="00000000" w:rsidRDefault="00000000" w:rsidRPr="00000000" w14:paraId="00000024">
            <w:pPr>
              <w:pageBreakBefore w:val="0"/>
              <w:spacing w:line="240" w:lineRule="auto"/>
              <w:jc w:val="center"/>
              <w:rPr>
                <w:highlight w:val="white"/>
              </w:rPr>
            </w:pPr>
            <w:r w:rsidDel="00000000" w:rsidR="00000000" w:rsidRPr="00000000">
              <w:rPr>
                <w:highlight w:val="white"/>
                <w:rtl w:val="0"/>
              </w:rPr>
              <w:t xml:space="preserve">růžová</w:t>
            </w:r>
          </w:p>
        </w:tc>
      </w:tr>
      <w:tr>
        <w:trPr>
          <w:cantSplit w:val="0"/>
          <w:trHeight w:val="440" w:hRule="atLeast"/>
          <w:tblHeader w:val="0"/>
        </w:trPr>
        <w:tc>
          <w:tcPr>
            <w:vMerge w:val="continue"/>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pageBreakBefore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pageBreakBefore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spacing w:after="0" w:before="0" w:line="240" w:lineRule="auto"/>
              <w:ind w:left="0" w:firstLine="0"/>
              <w:jc w:val="center"/>
              <w:rPr>
                <w:highlight w:val="white"/>
              </w:rPr>
            </w:pPr>
            <w:r w:rsidDel="00000000" w:rsidR="00000000" w:rsidRPr="00000000">
              <w:rPr>
                <w:rtl w:val="0"/>
              </w:rPr>
            </w:r>
          </w:p>
        </w:tc>
      </w:tr>
    </w:tbl>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Now let’s dig a little deeper and learn some more ways of talking about colors.</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Style w:val="Subtitle"/>
        <w:pageBreakBefore w:val="0"/>
        <w:rPr/>
      </w:pPr>
      <w:bookmarkStart w:colFirst="0" w:colLast="0" w:name="_ir7252fz0t93" w:id="1"/>
      <w:bookmarkEnd w:id="1"/>
      <w:r w:rsidDel="00000000" w:rsidR="00000000" w:rsidRPr="00000000">
        <w:rPr>
          <w:rtl w:val="0"/>
        </w:rPr>
        <w:t xml:space="preserve">Combining color adjectives</w:t>
      </w:r>
    </w:p>
    <w:p w:rsidR="00000000" w:rsidDel="00000000" w:rsidP="00000000" w:rsidRDefault="00000000" w:rsidRPr="00000000" w14:paraId="0000002F">
      <w:pPr>
        <w:pageBreakBefore w:val="0"/>
        <w:rPr/>
      </w:pPr>
      <w:r w:rsidDel="00000000" w:rsidR="00000000" w:rsidRPr="00000000">
        <w:rPr>
          <w:rtl w:val="0"/>
        </w:rPr>
        <w:t xml:space="preserve">We might want to talk about something being </w:t>
      </w:r>
      <w:r w:rsidDel="00000000" w:rsidR="00000000" w:rsidRPr="00000000">
        <w:rPr>
          <w:i w:val="1"/>
          <w:rtl w:val="0"/>
        </w:rPr>
        <w:t xml:space="preserve">light green</w:t>
      </w:r>
      <w:r w:rsidDel="00000000" w:rsidR="00000000" w:rsidRPr="00000000">
        <w:rPr>
          <w:rtl w:val="0"/>
        </w:rPr>
        <w:t xml:space="preserve"> or </w:t>
      </w:r>
      <w:r w:rsidDel="00000000" w:rsidR="00000000" w:rsidRPr="00000000">
        <w:rPr>
          <w:i w:val="1"/>
          <w:rtl w:val="0"/>
        </w:rPr>
        <w:t xml:space="preserve">dark blue</w:t>
      </w:r>
      <w:r w:rsidDel="00000000" w:rsidR="00000000" w:rsidRPr="00000000">
        <w:rPr>
          <w:rtl w:val="0"/>
        </w:rPr>
        <w:t xml:space="preserve">. To do this, combine them with the words </w:t>
      </w:r>
      <w:r w:rsidDel="00000000" w:rsidR="00000000" w:rsidRPr="00000000">
        <w:rPr>
          <w:i w:val="1"/>
          <w:rtl w:val="0"/>
        </w:rPr>
        <w:t xml:space="preserve">světle </w:t>
      </w:r>
      <w:r w:rsidDel="00000000" w:rsidR="00000000" w:rsidRPr="00000000">
        <w:rPr>
          <w:rtl w:val="0"/>
        </w:rPr>
        <w:t xml:space="preserve">‘light’ and </w:t>
      </w:r>
      <w:r w:rsidDel="00000000" w:rsidR="00000000" w:rsidRPr="00000000">
        <w:rPr>
          <w:i w:val="1"/>
          <w:rtl w:val="0"/>
        </w:rPr>
        <w:t xml:space="preserve">tmavě </w:t>
      </w:r>
      <w:r w:rsidDel="00000000" w:rsidR="00000000" w:rsidRPr="00000000">
        <w:rPr>
          <w:rtl w:val="0"/>
        </w:rPr>
        <w:t xml:space="preserve">‘dark’ (you remember these from beer, right?).</w:t>
      </w:r>
    </w:p>
    <w:p w:rsidR="00000000" w:rsidDel="00000000" w:rsidP="00000000" w:rsidRDefault="00000000" w:rsidRPr="00000000" w14:paraId="00000030">
      <w:pPr>
        <w:pageBreakBefore w:val="0"/>
        <w:rPr>
          <w:b w:val="1"/>
          <w:sz w:val="22"/>
          <w:szCs w:val="22"/>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20" w:hRule="atLeast"/>
          <w:tblHeader w:val="0"/>
        </w:trPr>
        <w:tc>
          <w:tcPr>
            <w:vMerge w:val="restart"/>
            <w:tcBorders>
              <w:top w:color="000000" w:space="0" w:sz="0" w:val="nil"/>
              <w:left w:color="000000" w:space="0" w:sz="0" w:val="nil"/>
              <w:bottom w:color="000000" w:space="0" w:sz="0" w:val="nil"/>
            </w:tcBorders>
            <w:shd w:fill="073763"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rPr>
                <w:sz w:val="22"/>
                <w:szCs w:val="22"/>
              </w:rPr>
            </w:pPr>
            <w:r w:rsidDel="00000000" w:rsidR="00000000" w:rsidRPr="00000000">
              <w:rPr>
                <w:rtl w:val="0"/>
              </w:rPr>
            </w:r>
          </w:p>
          <w:p w:rsidR="00000000" w:rsidDel="00000000" w:rsidP="00000000" w:rsidRDefault="00000000" w:rsidRPr="00000000" w14:paraId="00000032">
            <w:pPr>
              <w:pageBreakBefore w:val="0"/>
              <w:widowControl w:val="0"/>
              <w:spacing w:line="240" w:lineRule="auto"/>
              <w:jc w:val="center"/>
              <w:rPr>
                <w:highlight w:val="white"/>
              </w:rPr>
            </w:pPr>
            <w:r w:rsidDel="00000000" w:rsidR="00000000" w:rsidRPr="00000000">
              <w:rPr>
                <w:highlight w:val="white"/>
                <w:rtl w:val="0"/>
              </w:rPr>
              <w:t xml:space="preserve">tmavě modrá</w:t>
            </w:r>
          </w:p>
        </w:tc>
        <w:tc>
          <w:tcPr>
            <w:vMerge w:val="restart"/>
            <w:tcBorders>
              <w:top w:color="000000" w:space="0" w:sz="0" w:val="nil"/>
              <w:bottom w:color="000000" w:space="0" w:sz="0" w:val="nil"/>
            </w:tcBorders>
            <w:shd w:fill="9fc5e8"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sz w:val="22"/>
                <w:szCs w:val="22"/>
                <w:highlight w:val="darkBlue"/>
              </w:rPr>
            </w:pPr>
            <w:r w:rsidDel="00000000" w:rsidR="00000000" w:rsidRPr="00000000">
              <w:rPr>
                <w:rtl w:val="0"/>
              </w:rPr>
            </w:r>
          </w:p>
          <w:p w:rsidR="00000000" w:rsidDel="00000000" w:rsidP="00000000" w:rsidRDefault="00000000" w:rsidRPr="00000000" w14:paraId="00000034">
            <w:pPr>
              <w:pageBreakBefore w:val="0"/>
              <w:widowControl w:val="0"/>
              <w:spacing w:line="240" w:lineRule="auto"/>
              <w:jc w:val="center"/>
              <w:rPr>
                <w:highlight w:val="white"/>
              </w:rPr>
            </w:pPr>
            <w:r w:rsidDel="00000000" w:rsidR="00000000" w:rsidRPr="00000000">
              <w:rPr>
                <w:highlight w:val="white"/>
                <w:rtl w:val="0"/>
              </w:rPr>
              <w:t xml:space="preserve">světle modrá</w:t>
            </w:r>
          </w:p>
        </w:tc>
        <w:tc>
          <w:tcPr>
            <w:vMerge w:val="restart"/>
            <w:tcBorders>
              <w:top w:color="000000" w:space="0" w:sz="0" w:val="nil"/>
              <w:bottom w:color="000000" w:space="0" w:sz="0" w:val="nil"/>
            </w:tcBorders>
            <w:shd w:fill="024001"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color w:val="0a5b17"/>
                <w:sz w:val="22"/>
                <w:szCs w:val="22"/>
              </w:rPr>
            </w:pPr>
            <w:r w:rsidDel="00000000" w:rsidR="00000000" w:rsidRPr="00000000">
              <w:rPr>
                <w:rtl w:val="0"/>
              </w:rPr>
            </w:r>
          </w:p>
          <w:p w:rsidR="00000000" w:rsidDel="00000000" w:rsidP="00000000" w:rsidRDefault="00000000" w:rsidRPr="00000000" w14:paraId="00000036">
            <w:pPr>
              <w:pageBreakBefore w:val="0"/>
              <w:widowControl w:val="0"/>
              <w:spacing w:line="240" w:lineRule="auto"/>
              <w:jc w:val="center"/>
              <w:rPr>
                <w:highlight w:val="white"/>
              </w:rPr>
            </w:pPr>
            <w:r w:rsidDel="00000000" w:rsidR="00000000" w:rsidRPr="00000000">
              <w:rPr>
                <w:highlight w:val="white"/>
                <w:rtl w:val="0"/>
              </w:rPr>
              <w:t xml:space="preserve">tmavě zelená</w:t>
            </w:r>
          </w:p>
        </w:tc>
        <w:tc>
          <w:tcPr>
            <w:vMerge w:val="restart"/>
            <w:tcBorders>
              <w:top w:color="000000" w:space="0" w:sz="0" w:val="nil"/>
              <w:bottom w:color="000000" w:space="0" w:sz="0" w:val="nil"/>
            </w:tcBorders>
            <w:shd w:fill="00ff00"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40" w:lineRule="auto"/>
              <w:rPr>
                <w:sz w:val="22"/>
                <w:szCs w:val="22"/>
              </w:rPr>
            </w:pPr>
            <w:r w:rsidDel="00000000" w:rsidR="00000000" w:rsidRPr="00000000">
              <w:rPr>
                <w:rtl w:val="0"/>
              </w:rPr>
            </w:r>
          </w:p>
          <w:p w:rsidR="00000000" w:rsidDel="00000000" w:rsidP="00000000" w:rsidRDefault="00000000" w:rsidRPr="00000000" w14:paraId="00000038">
            <w:pPr>
              <w:pageBreakBefore w:val="0"/>
              <w:widowControl w:val="0"/>
              <w:spacing w:line="240" w:lineRule="auto"/>
              <w:jc w:val="center"/>
              <w:rPr>
                <w:highlight w:val="white"/>
              </w:rPr>
            </w:pPr>
            <w:r w:rsidDel="00000000" w:rsidR="00000000" w:rsidRPr="00000000">
              <w:rPr>
                <w:highlight w:val="white"/>
                <w:rtl w:val="0"/>
              </w:rPr>
              <w:t xml:space="preserve">světle zelená</w:t>
            </w:r>
          </w:p>
        </w:tc>
        <w:tc>
          <w:tcPr>
            <w:vMerge w:val="restart"/>
            <w:tcBorders>
              <w:top w:color="000000" w:space="0" w:sz="0" w:val="nil"/>
              <w:bottom w:color="000000" w:space="0" w:sz="0" w:val="nil"/>
              <w:right w:color="000000" w:space="0" w:sz="0" w:val="nil"/>
            </w:tcBorders>
            <w:shd w:fill="b45f06"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line="240" w:lineRule="auto"/>
              <w:rPr>
                <w:sz w:val="22"/>
                <w:szCs w:val="22"/>
              </w:rPr>
            </w:pPr>
            <w:r w:rsidDel="00000000" w:rsidR="00000000" w:rsidRPr="00000000">
              <w:rPr>
                <w:rtl w:val="0"/>
              </w:rPr>
            </w:r>
          </w:p>
          <w:p w:rsidR="00000000" w:rsidDel="00000000" w:rsidP="00000000" w:rsidRDefault="00000000" w:rsidRPr="00000000" w14:paraId="0000003A">
            <w:pPr>
              <w:pageBreakBefore w:val="0"/>
              <w:widowControl w:val="0"/>
              <w:spacing w:line="240" w:lineRule="auto"/>
              <w:jc w:val="center"/>
              <w:rPr>
                <w:highlight w:val="white"/>
              </w:rPr>
            </w:pPr>
            <w:r w:rsidDel="00000000" w:rsidR="00000000" w:rsidRPr="00000000">
              <w:rPr>
                <w:highlight w:val="white"/>
                <w:rtl w:val="0"/>
              </w:rPr>
              <w:t xml:space="preserve">tmavě oranžová</w:t>
            </w:r>
          </w:p>
        </w:tc>
      </w:tr>
      <w:tr>
        <w:trPr>
          <w:cantSplit w:val="0"/>
          <w:trHeight w:val="440" w:hRule="atLeast"/>
          <w:tblHeader w:val="0"/>
        </w:trPr>
        <w:tc>
          <w:tcPr>
            <w:vMerge w:val="continue"/>
            <w:tcBorders>
              <w:top w:color="000000" w:space="0" w:sz="0" w:val="nil"/>
              <w:left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after="0" w:before="0" w:line="240" w:lineRule="auto"/>
              <w:ind w:left="0" w:firstLine="0"/>
              <w:jc w:val="center"/>
              <w:rPr>
                <w:highlight w:val="white"/>
              </w:rPr>
            </w:pPr>
            <w:r w:rsidDel="00000000" w:rsidR="00000000" w:rsidRPr="00000000">
              <w:rPr>
                <w:rtl w:val="0"/>
              </w:rPr>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spacing w:after="0" w:before="0" w:line="240" w:lineRule="auto"/>
              <w:ind w:left="0" w:firstLine="0"/>
              <w:jc w:val="center"/>
              <w:rPr>
                <w:highlight w:val="white"/>
              </w:rPr>
            </w:pPr>
            <w:r w:rsidDel="00000000" w:rsidR="00000000" w:rsidRPr="00000000">
              <w:rPr>
                <w:rtl w:val="0"/>
              </w:rPr>
            </w:r>
          </w:p>
        </w:tc>
      </w:tr>
    </w:tbl>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You can also combine colors together:</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vMerge w:val="restart"/>
            <w:tcBorders>
              <w:top w:color="000000" w:space="0" w:sz="0" w:val="nil"/>
              <w:lef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7">
              <w:r w:rsidDel="00000000" w:rsidR="00000000" w:rsidRPr="00000000">
                <w:rPr>
                  <w:color w:val="1155cc"/>
                  <w:u w:val="single"/>
                </w:rPr>
                <w:drawing>
                  <wp:inline distB="114300" distT="114300" distL="114300" distR="114300">
                    <wp:extent cx="1847850" cy="1209675"/>
                    <wp:effectExtent b="0" l="0" r="0" t="0"/>
                    <wp:docPr id="2" name="image3.jpg"/>
                    <a:graphic>
                      <a:graphicData uri="http://schemas.openxmlformats.org/drawingml/2006/picture">
                        <pic:pic>
                          <pic:nvPicPr>
                            <pic:cNvPr id="0" name="image3.jpg"/>
                            <pic:cNvPicPr preferRelativeResize="0"/>
                          </pic:nvPicPr>
                          <pic:blipFill>
                            <a:blip r:embed="rId8"/>
                            <a:srcRect b="8275" l="0" r="0" t="4137"/>
                            <a:stretch>
                              <a:fillRect/>
                            </a:stretch>
                          </pic:blipFill>
                          <pic:spPr>
                            <a:xfrm>
                              <a:off x="0" y="0"/>
                              <a:ext cx="1847850" cy="12096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3">
            <w:pPr>
              <w:pageBreakBefore w:val="0"/>
              <w:widowControl w:val="0"/>
              <w:spacing w:line="240" w:lineRule="auto"/>
              <w:jc w:val="center"/>
              <w:rPr>
                <w:i w:val="1"/>
              </w:rPr>
            </w:pPr>
            <w:r w:rsidDel="00000000" w:rsidR="00000000" w:rsidRPr="00000000">
              <w:rPr>
                <w:i w:val="1"/>
                <w:rtl w:val="0"/>
              </w:rPr>
              <w:t xml:space="preserve">žluto-oranžová </w:t>
            </w:r>
            <w:r w:rsidDel="00000000" w:rsidR="00000000" w:rsidRPr="00000000">
              <w:rPr>
                <w:i w:val="1"/>
                <w:vertAlign w:val="superscript"/>
              </w:rPr>
              <w:footnoteReference w:customMarkFollows="0" w:id="0"/>
            </w:r>
            <w:r w:rsidDel="00000000" w:rsidR="00000000" w:rsidRPr="00000000">
              <w:rPr>
                <w:i w:val="1"/>
                <w:rtl w:val="0"/>
              </w:rPr>
              <w:t xml:space="preserve">polévka</w:t>
            </w:r>
          </w:p>
          <w:p w:rsidR="00000000" w:rsidDel="00000000" w:rsidP="00000000" w:rsidRDefault="00000000" w:rsidRPr="00000000" w14:paraId="00000044">
            <w:pPr>
              <w:pageBreakBefore w:val="0"/>
              <w:widowControl w:val="0"/>
              <w:spacing w:line="240" w:lineRule="auto"/>
              <w:jc w:val="center"/>
              <w:rPr/>
            </w:pPr>
            <w:r w:rsidDel="00000000" w:rsidR="00000000" w:rsidRPr="00000000">
              <w:rPr>
                <w:rtl w:val="0"/>
              </w:rPr>
              <w:t xml:space="preserve">yellow and orange soup</w:t>
            </w:r>
            <w:r w:rsidDel="00000000" w:rsidR="00000000" w:rsidRPr="00000000">
              <w:rPr>
                <w:rtl w:val="0"/>
              </w:rPr>
            </w:r>
          </w:p>
        </w:tc>
        <w:tc>
          <w:tcPr>
            <w:vMerge w:val="restart"/>
            <w:tcBorders>
              <w:top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9">
              <w:r w:rsidDel="00000000" w:rsidR="00000000" w:rsidRPr="00000000">
                <w:rPr>
                  <w:color w:val="1155cc"/>
                  <w:u w:val="single"/>
                </w:rPr>
                <w:drawing>
                  <wp:inline distB="114300" distT="114300" distL="114300" distR="114300">
                    <wp:extent cx="1847850" cy="1228725"/>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847850" cy="12287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6">
            <w:pPr>
              <w:pageBreakBefore w:val="0"/>
              <w:widowControl w:val="0"/>
              <w:spacing w:line="240" w:lineRule="auto"/>
              <w:jc w:val="center"/>
              <w:rPr>
                <w:i w:val="1"/>
              </w:rPr>
            </w:pPr>
            <w:r w:rsidDel="00000000" w:rsidR="00000000" w:rsidRPr="00000000">
              <w:rPr>
                <w:i w:val="1"/>
                <w:rtl w:val="0"/>
              </w:rPr>
              <w:t xml:space="preserve">zeleno-červený náramek</w:t>
            </w:r>
          </w:p>
          <w:p w:rsidR="00000000" w:rsidDel="00000000" w:rsidP="00000000" w:rsidRDefault="00000000" w:rsidRPr="00000000" w14:paraId="00000047">
            <w:pPr>
              <w:pageBreakBefore w:val="0"/>
              <w:widowControl w:val="0"/>
              <w:spacing w:line="240" w:lineRule="auto"/>
              <w:jc w:val="center"/>
              <w:rPr/>
            </w:pPr>
            <w:r w:rsidDel="00000000" w:rsidR="00000000" w:rsidRPr="00000000">
              <w:rPr>
                <w:rtl w:val="0"/>
              </w:rPr>
              <w:t xml:space="preserve">green and red bracelet</w:t>
            </w:r>
            <w:r w:rsidDel="00000000" w:rsidR="00000000" w:rsidRPr="00000000">
              <w:rPr>
                <w:rtl w:val="0"/>
              </w:rPr>
            </w:r>
          </w:p>
        </w:tc>
        <w:tc>
          <w:tcPr>
            <w:vMerge w:val="restart"/>
            <w:tcBorders>
              <w:top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1">
              <w:r w:rsidDel="00000000" w:rsidR="00000000" w:rsidRPr="00000000">
                <w:rPr>
                  <w:color w:val="1155cc"/>
                  <w:u w:val="single"/>
                </w:rPr>
                <w:drawing>
                  <wp:inline distB="114300" distT="114300" distL="114300" distR="114300">
                    <wp:extent cx="1847850" cy="12319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9">
            <w:pPr>
              <w:pageBreakBefore w:val="0"/>
              <w:widowControl w:val="0"/>
              <w:spacing w:line="240" w:lineRule="auto"/>
              <w:jc w:val="center"/>
              <w:rPr>
                <w:i w:val="1"/>
              </w:rPr>
            </w:pPr>
            <w:r w:rsidDel="00000000" w:rsidR="00000000" w:rsidRPr="00000000">
              <w:rPr>
                <w:i w:val="1"/>
                <w:rtl w:val="0"/>
              </w:rPr>
              <w:t xml:space="preserve">žluto-bílý květ</w:t>
            </w:r>
          </w:p>
          <w:p w:rsidR="00000000" w:rsidDel="00000000" w:rsidP="00000000" w:rsidRDefault="00000000" w:rsidRPr="00000000" w14:paraId="0000004A">
            <w:pPr>
              <w:pageBreakBefore w:val="0"/>
              <w:widowControl w:val="0"/>
              <w:spacing w:line="240" w:lineRule="auto"/>
              <w:jc w:val="center"/>
              <w:rPr/>
            </w:pPr>
            <w:r w:rsidDel="00000000" w:rsidR="00000000" w:rsidRPr="00000000">
              <w:rPr>
                <w:rtl w:val="0"/>
              </w:rPr>
              <w:t xml:space="preserve">yellow and white flower</w:t>
            </w:r>
            <w:r w:rsidDel="00000000" w:rsidR="00000000" w:rsidRPr="00000000">
              <w:rPr>
                <w:rtl w:val="0"/>
              </w:rPr>
            </w:r>
          </w:p>
        </w:tc>
      </w:tr>
      <w:tr>
        <w:trPr>
          <w:cantSplit w:val="0"/>
          <w:trHeight w:val="440" w:hRule="atLeast"/>
          <w:tblHeader w:val="0"/>
        </w:trPr>
        <w:tc>
          <w:tcPr>
            <w:vMerge w:val="continue"/>
            <w:tcBorders>
              <w:left w:color="000000" w:space="0" w:sz="0" w:val="nil"/>
              <w:bottom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tcBorders>
              <w:bottom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vMerge w:val="continue"/>
            <w:tcBorders>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Now, these are really only if you want to get super specific with your colors. Most of the time you’ll be fine with the basic. But sometimes you just have that need…</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jc w:val="center"/>
        <w:rPr/>
      </w:pPr>
      <w:hyperlink r:id="rId13">
        <w:r w:rsidDel="00000000" w:rsidR="00000000" w:rsidRPr="00000000">
          <w:rPr>
            <w:color w:val="1155cc"/>
            <w:u w:val="single"/>
          </w:rPr>
          <w:drawing>
            <wp:inline distB="114300" distT="114300" distL="114300" distR="114300">
              <wp:extent cx="5143500" cy="30099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143500" cy="3009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3">
      <w:pPr>
        <w:pageBreakBefore w:val="0"/>
        <w:jc w:val="left"/>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Images used in this document come from </w:t>
      </w:r>
      <w:hyperlink r:id="rId15">
        <w:r w:rsidDel="00000000" w:rsidR="00000000" w:rsidRPr="00000000">
          <w:rPr>
            <w:color w:val="1155cc"/>
            <w:u w:val="single"/>
            <w:rtl w:val="0"/>
          </w:rPr>
          <w:t xml:space="preserve">these sources</w:t>
        </w:r>
      </w:hyperlink>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pageBreakBefore w:val="0"/>
        <w:spacing w:line="240" w:lineRule="auto"/>
        <w:rPr/>
      </w:pPr>
      <w:r w:rsidDel="00000000" w:rsidR="00000000" w:rsidRPr="00000000">
        <w:rPr>
          <w:rStyle w:val="FootnoteReference"/>
          <w:vertAlign w:val="superscript"/>
        </w:rPr>
        <w:footnoteRef/>
      </w:r>
      <w:r w:rsidDel="00000000" w:rsidR="00000000" w:rsidRPr="00000000">
        <w:rPr>
          <w:rtl w:val="0"/>
        </w:rPr>
        <w:t xml:space="preserve"> Often these are hyphenated, though sometimes also written together, i.e. </w:t>
      </w:r>
      <w:r w:rsidDel="00000000" w:rsidR="00000000" w:rsidRPr="00000000">
        <w:rPr>
          <w:i w:val="1"/>
          <w:rtl w:val="0"/>
        </w:rPr>
        <w:t xml:space="preserve">žlutooranžová, zelenočervená</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xabay.com/en/star-tulip-flower-blossom-bloom-741609/" TargetMode="External"/><Relationship Id="rId10" Type="http://schemas.openxmlformats.org/officeDocument/2006/relationships/image" Target="media/image4.jpg"/><Relationship Id="rId13" Type="http://schemas.openxmlformats.org/officeDocument/2006/relationships/hyperlink" Target="https://commons.wikimedia.org/wiki/File:Atelopus_zeteki1.jpg"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lickr.com/photos/comedynose/14542375102" TargetMode="External"/><Relationship Id="rId15" Type="http://schemas.openxmlformats.org/officeDocument/2006/relationships/hyperlink" Target="https://docs.google.com/document/d/1Xo646gq_-RYxFseXVAapjPBPXowVA9NjxukSlYo8has/edit#heading=h.bikq3jo2jbnk" TargetMode="External"/><Relationship Id="rId1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flickr.com/photos/robinellis/6035232189"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