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qql92a8bb0ax" w:id="0"/>
      <w:bookmarkEnd w:id="0"/>
      <w:r w:rsidDel="00000000" w:rsidR="00000000" w:rsidRPr="00000000">
        <w:rPr>
          <w:rtl w:val="0"/>
        </w:rPr>
        <w:t xml:space="preserve">5.7 - </w:t>
      </w:r>
      <w:r w:rsidDel="00000000" w:rsidR="00000000" w:rsidRPr="00000000">
        <w:rPr>
          <w:i w:val="1"/>
          <w:iCs w:val="1"/>
          <w:rtl w:val="0"/>
        </w:rPr>
        <w:t xml:space="preserve">brát / vzít prášek</w:t>
      </w:r>
      <w:r w:rsidDel="00000000" w:rsidR="00000000" w:rsidRPr="00000000">
        <w:rPr>
          <w:rtl w:val="0"/>
        </w:rPr>
        <w:t xml:space="preserve"> - to take medicine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Taking medicine is never fun, and neither is learning a new verb conjugation. Of course in Czech we have to learn two new verbs, </w:t>
      </w:r>
      <w:r w:rsidDel="00000000" w:rsidR="00000000" w:rsidRPr="00000000">
        <w:rPr>
          <w:i w:val="1"/>
          <w:iCs w:val="1"/>
          <w:rtl w:val="0"/>
        </w:rPr>
        <w:t xml:space="preserve">brát </w:t>
      </w:r>
      <w:r w:rsidDel="00000000" w:rsidR="00000000" w:rsidRPr="00000000">
        <w:rPr>
          <w:rtl w:val="0"/>
        </w:rPr>
        <w:t xml:space="preserve"> - ‘to take’ and </w:t>
      </w:r>
      <w:r w:rsidDel="00000000" w:rsidR="00000000" w:rsidRPr="00000000">
        <w:rPr>
          <w:i w:val="1"/>
          <w:iCs w:val="1"/>
          <w:rtl w:val="0"/>
        </w:rPr>
        <w:t xml:space="preserve">vzít</w:t>
      </w:r>
      <w:r w:rsidDel="00000000" w:rsidR="00000000" w:rsidRPr="00000000">
        <w:rPr>
          <w:rtl w:val="0"/>
        </w:rPr>
        <w:t xml:space="preserve"> - ‘to take’.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ind w:firstLine="720"/>
        <w:rPr/>
      </w:pPr>
      <w:r w:rsidDel="00000000" w:rsidR="00000000" w:rsidRPr="00000000">
        <w:rPr>
          <w:i w:val="1"/>
          <w:iCs w:val="1"/>
          <w:rtl w:val="0"/>
        </w:rPr>
        <w:t xml:space="preserve">brát</w:t>
      </w:r>
      <w:r w:rsidDel="00000000" w:rsidR="00000000" w:rsidRPr="00000000">
        <w:rPr>
          <w:rtl w:val="0"/>
        </w:rPr>
        <w:tab/>
        <w:tab/>
        <w:tab/>
        <w:tab/>
        <w:t xml:space="preserve">‘to take’</w:t>
      </w:r>
    </w:p>
    <w:tbl>
      <w:tblPr>
        <w:tblStyle w:val="Table1"/>
        <w:tblW w:w="805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1905"/>
        <w:gridCol w:w="1755"/>
        <w:gridCol w:w="2580"/>
        <w:tblGridChange w:id="0">
          <w:tblGrid>
            <w:gridCol w:w="1815"/>
            <w:gridCol w:w="1905"/>
            <w:gridCol w:w="1755"/>
            <w:gridCol w:w="258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(já)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beru </w:t>
            </w:r>
            <w:r w:rsidDel="00000000" w:rsidR="00000000" w:rsidRPr="00000000">
              <w:rPr>
                <w:rtl w:val="0"/>
              </w:rPr>
              <w:t xml:space="preserve">‘I take’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(my)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bereme </w:t>
            </w:r>
            <w:r w:rsidDel="00000000" w:rsidR="00000000" w:rsidRPr="00000000">
              <w:rPr>
                <w:rtl w:val="0"/>
              </w:rPr>
              <w:t xml:space="preserve">we take’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bereš </w:t>
            </w:r>
            <w:r w:rsidDel="00000000" w:rsidR="00000000" w:rsidRPr="00000000">
              <w:rPr>
                <w:rtl w:val="0"/>
              </w:rPr>
              <w:t xml:space="preserve">‘you take’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(vy)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berete </w:t>
            </w:r>
            <w:r w:rsidDel="00000000" w:rsidR="00000000" w:rsidRPr="00000000">
              <w:rPr>
                <w:rtl w:val="0"/>
              </w:rPr>
              <w:t xml:space="preserve">‘you take’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(on/ona/ono)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bere </w:t>
            </w:r>
            <w:r w:rsidDel="00000000" w:rsidR="00000000" w:rsidRPr="00000000">
              <w:rPr>
                <w:rtl w:val="0"/>
              </w:rPr>
              <w:t xml:space="preserve">‘he/she takes’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(oni/ony/ona)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berou </w:t>
            </w:r>
            <w:r w:rsidDel="00000000" w:rsidR="00000000" w:rsidRPr="00000000">
              <w:rPr>
                <w:rtl w:val="0"/>
              </w:rPr>
              <w:t xml:space="preserve">‘they take’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ind w:firstLine="720"/>
        <w:rPr/>
      </w:pPr>
      <w:r w:rsidDel="00000000" w:rsidR="00000000" w:rsidRPr="00000000">
        <w:rPr>
          <w:i w:val="1"/>
          <w:iCs w:val="1"/>
          <w:rtl w:val="0"/>
        </w:rPr>
        <w:t xml:space="preserve">vzít</w:t>
      </w:r>
      <w:r w:rsidDel="00000000" w:rsidR="00000000" w:rsidRPr="00000000">
        <w:rPr>
          <w:rtl w:val="0"/>
        </w:rPr>
        <w:tab/>
        <w:tab/>
        <w:tab/>
        <w:tab/>
        <w:t xml:space="preserve">‘to take’</w:t>
      </w:r>
    </w:p>
    <w:tbl>
      <w:tblPr>
        <w:tblStyle w:val="Table2"/>
        <w:tblW w:w="805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1905"/>
        <w:gridCol w:w="1755"/>
        <w:gridCol w:w="2580"/>
        <w:tblGridChange w:id="0">
          <w:tblGrid>
            <w:gridCol w:w="1815"/>
            <w:gridCol w:w="1905"/>
            <w:gridCol w:w="1755"/>
            <w:gridCol w:w="258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(já)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vezmu </w:t>
            </w:r>
            <w:r w:rsidDel="00000000" w:rsidR="00000000" w:rsidRPr="00000000">
              <w:rPr>
                <w:rtl w:val="0"/>
              </w:rPr>
              <w:t xml:space="preserve">‘I take’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(my)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vezmeme </w:t>
            </w:r>
            <w:r w:rsidDel="00000000" w:rsidR="00000000" w:rsidRPr="00000000">
              <w:rPr>
                <w:rtl w:val="0"/>
              </w:rPr>
              <w:t xml:space="preserve">‘</w:t>
            </w:r>
            <w:r w:rsidDel="00000000" w:rsidR="00000000" w:rsidRPr="00000000">
              <w:rPr>
                <w:rtl w:val="0"/>
              </w:rPr>
              <w:t xml:space="preserve">we take’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vezmeš </w:t>
            </w:r>
            <w:r w:rsidDel="00000000" w:rsidR="00000000" w:rsidRPr="00000000">
              <w:rPr>
                <w:rtl w:val="0"/>
              </w:rPr>
              <w:t xml:space="preserve">‘you take’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(vy)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vezmete </w:t>
            </w:r>
            <w:r w:rsidDel="00000000" w:rsidR="00000000" w:rsidRPr="00000000">
              <w:rPr>
                <w:rtl w:val="0"/>
              </w:rPr>
              <w:t xml:space="preserve">‘you take’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(on/ona/ono)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vezme </w:t>
            </w:r>
            <w:r w:rsidDel="00000000" w:rsidR="00000000" w:rsidRPr="00000000">
              <w:rPr>
                <w:rtl w:val="0"/>
              </w:rPr>
              <w:t xml:space="preserve">‘he/she takes’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(oni/ony/ona)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vezmou </w:t>
            </w:r>
            <w:r w:rsidDel="00000000" w:rsidR="00000000" w:rsidRPr="00000000">
              <w:rPr>
                <w:rtl w:val="0"/>
              </w:rPr>
              <w:t xml:space="preserve">‘they take’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What’s the difference between these two? Well, it’s a little early to go into the specifics, but it’s something that we will learn in a later unit called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verbal aspect.</w:t>
        </w:r>
      </w:hyperlink>
      <w:r w:rsidDel="00000000" w:rsidR="00000000" w:rsidRPr="00000000">
        <w:rPr>
          <w:rtl w:val="0"/>
        </w:rPr>
        <w:t xml:space="preserve">  However, for now you can easily ignore the difference between them and treat them as synonyms.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Additionally, sometimes Czechs will add the word </w:t>
      </w:r>
      <w:r w:rsidDel="00000000" w:rsidR="00000000" w:rsidRPr="00000000">
        <w:rPr>
          <w:i w:val="1"/>
          <w:iCs w:val="1"/>
          <w:rtl w:val="0"/>
        </w:rPr>
        <w:t xml:space="preserve">si</w:t>
      </w:r>
      <w:r w:rsidDel="00000000" w:rsidR="00000000" w:rsidRPr="00000000">
        <w:rPr>
          <w:rtl w:val="0"/>
        </w:rPr>
        <w:t xml:space="preserve"> ‘for myself’ to the verbs, i.e. </w:t>
      </w:r>
      <w:r w:rsidDel="00000000" w:rsidR="00000000" w:rsidRPr="00000000">
        <w:rPr>
          <w:i w:val="1"/>
          <w:iCs w:val="1"/>
          <w:rtl w:val="0"/>
        </w:rPr>
        <w:t xml:space="preserve">brát si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i w:val="1"/>
          <w:iCs w:val="1"/>
          <w:rtl w:val="0"/>
        </w:rPr>
        <w:t xml:space="preserve">vzít si prášek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838450" cy="2133600"/>
                    <wp:effectExtent b="0" l="0" r="0" t="0"/>
                    <wp:docPr id="2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8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21336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Když Lenku bolí hlava, vezme si někdy prášek.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838450" cy="2124075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0"/>
                            <a:srcRect b="22965" l="0" r="0" t="1220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212407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Když jsem nachlazená, tak  většinou beru vitamíny a piju  celý den vodu.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Subtitle"/>
        <w:pageBreakBefore w:val="0"/>
        <w:rPr/>
      </w:pPr>
      <w:bookmarkStart w:colFirst="0" w:colLast="0" w:name="_bnkxmc8uufpu" w:id="1"/>
      <w:bookmarkEnd w:id="1"/>
      <w:r w:rsidDel="00000000" w:rsidR="00000000" w:rsidRPr="00000000">
        <w:rPr>
          <w:i w:val="1"/>
          <w:iCs w:val="1"/>
          <w:rtl w:val="0"/>
        </w:rPr>
        <w:t xml:space="preserve">prášek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i w:val="1"/>
          <w:iCs w:val="1"/>
          <w:rtl w:val="0"/>
        </w:rPr>
        <w:t xml:space="preserve">tableta / tabletka</w:t>
      </w:r>
      <w:r w:rsidDel="00000000" w:rsidR="00000000" w:rsidRPr="00000000">
        <w:rPr>
          <w:rtl w:val="0"/>
        </w:rPr>
        <w:t xml:space="preserve"> ‘pill’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The word for a pill is </w:t>
      </w:r>
      <w:r w:rsidDel="00000000" w:rsidR="00000000" w:rsidRPr="00000000">
        <w:rPr>
          <w:i w:val="1"/>
          <w:iCs w:val="1"/>
          <w:rtl w:val="0"/>
        </w:rPr>
        <w:t xml:space="preserve">prášek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iCs w:val="1"/>
          <w:rtl w:val="0"/>
        </w:rPr>
        <w:t xml:space="preserve">tableta/tabletka</w:t>
      </w:r>
      <w:r w:rsidDel="00000000" w:rsidR="00000000" w:rsidRPr="00000000">
        <w:rPr>
          <w:rtl w:val="0"/>
        </w:rPr>
        <w:t xml:space="preserve">. If you want to specify what type of pill it is, you can use the word </w:t>
      </w:r>
      <w:r w:rsidDel="00000000" w:rsidR="00000000" w:rsidRPr="00000000">
        <w:rPr>
          <w:i w:val="1"/>
          <w:iCs w:val="1"/>
          <w:rtl w:val="0"/>
        </w:rPr>
        <w:t xml:space="preserve">proti</w:t>
      </w:r>
      <w:r w:rsidDel="00000000" w:rsidR="00000000" w:rsidRPr="00000000">
        <w:rPr>
          <w:rtl w:val="0"/>
        </w:rPr>
        <w:t xml:space="preserve"> (+DAT) ‘against’: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tabletka proti kašli</w:t>
      </w:r>
      <w:r w:rsidDel="00000000" w:rsidR="00000000" w:rsidRPr="00000000">
        <w:rPr>
          <w:rtl w:val="0"/>
        </w:rPr>
        <w:t xml:space="preserve"> - cough medicine</w:t>
      </w:r>
    </w:p>
    <w:p w:rsidR="00000000" w:rsidDel="00000000" w:rsidP="00000000" w:rsidRDefault="00000000" w:rsidRPr="00000000" w14:paraId="00000031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prášek proti bolesti</w:t>
      </w:r>
      <w:r w:rsidDel="00000000" w:rsidR="00000000" w:rsidRPr="00000000">
        <w:rPr>
          <w:rtl w:val="0"/>
        </w:rPr>
        <w:t xml:space="preserve"> - pain pill</w:t>
      </w:r>
    </w:p>
    <w:p w:rsidR="00000000" w:rsidDel="00000000" w:rsidP="00000000" w:rsidRDefault="00000000" w:rsidRPr="00000000" w14:paraId="0000003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n40EDsw3EsjjcTMybMf-ZURDQh8ino-hGV7xWtUpp4Y/edit#heading=h.27dsdjreldeq" TargetMode="External"/><Relationship Id="rId10" Type="http://schemas.openxmlformats.org/officeDocument/2006/relationships/image" Target="media/image2.png"/><Relationship Id="rId9" Type="http://schemas.openxmlformats.org/officeDocument/2006/relationships/hyperlink" Target="https://pixabay.com/en/woman-blow-blowing-nose-hand-chief-698988/" TargetMode="External"/><Relationship Id="rId5" Type="http://schemas.openxmlformats.org/officeDocument/2006/relationships/styles" Target="styles.xml"/><Relationship Id="rId6" Type="http://schemas.openxmlformats.org/officeDocument/2006/relationships/hyperlink" Target="https://realityczech.org/introduction-to-aspect" TargetMode="External"/><Relationship Id="rId7" Type="http://schemas.openxmlformats.org/officeDocument/2006/relationships/hyperlink" Target="https://www.flickr.com/photos/ambrose/4034332983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