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2tflouaqzm3r" w:id="0"/>
      <w:bookmarkEnd w:id="0"/>
      <w:r w:rsidDel="00000000" w:rsidR="00000000" w:rsidRPr="00000000">
        <w:rPr>
          <w:rtl w:val="0"/>
        </w:rPr>
        <w:t xml:space="preserve">1.2 - "soft" pronunciations</w:t>
      </w:r>
    </w:p>
    <w:p w:rsidR="00000000" w:rsidDel="00000000" w:rsidP="00000000" w:rsidRDefault="00000000" w:rsidRPr="00000000" w14:paraId="00000002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Style w:val="Subtitle"/>
        <w:pageBreakBefore w:val="0"/>
        <w:rPr/>
      </w:pPr>
      <w:bookmarkStart w:colFirst="0" w:colLast="0" w:name="_r5fxv17dhx9f" w:id="1"/>
      <w:bookmarkEnd w:id="1"/>
      <w:r w:rsidDel="00000000" w:rsidR="00000000" w:rsidRPr="00000000">
        <w:rPr>
          <w:rtl w:val="0"/>
        </w:rPr>
        <w:t xml:space="preserve">writing the sounds ť, ď, ň</w:t>
      </w:r>
    </w:p>
    <w:p w:rsidR="00000000" w:rsidDel="00000000" w:rsidP="00000000" w:rsidRDefault="00000000" w:rsidRPr="00000000" w14:paraId="00000004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lot of times you’ll see the letters </w:t>
      </w:r>
      <w:r w:rsidDel="00000000" w:rsidR="00000000" w:rsidRPr="00000000">
        <w:rPr>
          <w:b w:val="1"/>
          <w:sz w:val="24"/>
          <w:szCs w:val="24"/>
          <w:rtl w:val="0"/>
        </w:rPr>
        <w:t xml:space="preserve">ť</w:t>
      </w:r>
      <w:r w:rsidDel="00000000" w:rsidR="00000000" w:rsidRPr="00000000">
        <w:rPr>
          <w:sz w:val="24"/>
          <w:szCs w:val="24"/>
          <w:rtl w:val="0"/>
        </w:rPr>
        <w:t xml:space="preserve">, </w:t>
      </w:r>
      <w:r w:rsidDel="00000000" w:rsidR="00000000" w:rsidRPr="00000000">
        <w:rPr>
          <w:b w:val="1"/>
          <w:sz w:val="24"/>
          <w:szCs w:val="24"/>
          <w:rtl w:val="0"/>
        </w:rPr>
        <w:t xml:space="preserve">ď</w:t>
      </w:r>
      <w:r w:rsidDel="00000000" w:rsidR="00000000" w:rsidRPr="00000000">
        <w:rPr>
          <w:sz w:val="24"/>
          <w:szCs w:val="24"/>
          <w:rtl w:val="0"/>
        </w:rPr>
        <w:t xml:space="preserve"> and </w:t>
      </w:r>
      <w:r w:rsidDel="00000000" w:rsidR="00000000" w:rsidRPr="00000000">
        <w:rPr>
          <w:b w:val="1"/>
          <w:sz w:val="24"/>
          <w:szCs w:val="24"/>
          <w:rtl w:val="0"/>
        </w:rPr>
        <w:t xml:space="preserve">ň</w:t>
      </w:r>
      <w:r w:rsidDel="00000000" w:rsidR="00000000" w:rsidRPr="00000000">
        <w:rPr>
          <w:sz w:val="24"/>
          <w:szCs w:val="24"/>
          <w:rtl w:val="0"/>
        </w:rPr>
        <w:t xml:space="preserve"> written just as you see them here (with an apostrophe or háček over them to indicate their soft pronunciation). This is the case before the vowels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a/á</w:t>
      </w:r>
      <w:r w:rsidDel="00000000" w:rsidR="00000000" w:rsidRPr="00000000">
        <w:rPr>
          <w:sz w:val="24"/>
          <w:szCs w:val="24"/>
          <w:rtl w:val="0"/>
        </w:rPr>
        <w:t xml:space="preserve">,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o/ó</w:t>
      </w:r>
      <w:r w:rsidDel="00000000" w:rsidR="00000000" w:rsidRPr="00000000">
        <w:rPr>
          <w:sz w:val="24"/>
          <w:szCs w:val="24"/>
          <w:rtl w:val="0"/>
        </w:rPr>
        <w:t xml:space="preserve">,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u/ú</w:t>
      </w:r>
      <w:r w:rsidDel="00000000" w:rsidR="00000000" w:rsidRPr="00000000">
        <w:rPr>
          <w:sz w:val="24"/>
          <w:szCs w:val="24"/>
          <w:rtl w:val="0"/>
        </w:rPr>
        <w:t xml:space="preserve">, and at the end of the word, e.g. -</w:t>
      </w:r>
    </w:p>
    <w:p w:rsidR="00000000" w:rsidDel="00000000" w:rsidP="00000000" w:rsidRDefault="00000000" w:rsidRPr="00000000" w14:paraId="00000005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865.0" w:type="dxa"/>
        <w:jc w:val="left"/>
        <w:tblInd w:w="49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720"/>
        <w:gridCol w:w="4072.5"/>
        <w:gridCol w:w="4072.5"/>
        <w:tblGridChange w:id="0">
          <w:tblGrid>
            <w:gridCol w:w="720"/>
            <w:gridCol w:w="4072.5"/>
            <w:gridCol w:w="4072.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ť</w:t>
            </w:r>
          </w:p>
        </w:tc>
        <w:tc>
          <w:tcPr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hyperlink r:id="rId7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2282850" cy="1271588"/>
                    <wp:effectExtent b="0" l="0" r="0" t="0"/>
                    <wp:docPr id="3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82850" cy="12715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koťata ‘kittens’ </w:t>
            </w:r>
            <w:hyperlink r:id="rId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A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1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885950" cy="1270000"/>
                    <wp:effectExtent b="0" l="0" r="0" t="0"/>
                    <wp:docPr id="6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85950" cy="1270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ťuknout ‘to tap’ </w:t>
            </w:r>
            <w:hyperlink r:id="rId1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pageBreakBefore w:val="0"/>
              <w:widowControl w:val="0"/>
              <w:spacing w:line="24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ď</w:t>
            </w:r>
          </w:p>
        </w:tc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D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1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800225" cy="1544269"/>
                    <wp:effectExtent b="0" l="0" r="0" t="0"/>
                    <wp:docPr id="10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4"/>
                            <a:srcRect b="0" l="950" r="95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0225" cy="154426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Maďarsko ‘Hungary’ </w:t>
            </w:r>
            <w:hyperlink r:id="rId1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16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824038" cy="1593633"/>
                    <wp:effectExtent b="0" l="0" r="0" t="0"/>
                    <wp:docPr id="15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7"/>
                            <a:srcRect b="2528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24038" cy="159363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Vláďovi ‘to Vláďa’ </w:t>
            </w:r>
            <w:hyperlink r:id="rId1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line="24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ň</w:t>
            </w:r>
          </w:p>
        </w:tc>
        <w:tc>
          <w:tcPr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1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2090738" cy="1574107"/>
                    <wp:effectExtent b="0" l="0" r="0" t="0"/>
                    <wp:docPr id="4" name="image8.jpg"/>
                    <a:graphic>
                      <a:graphicData uri="http://schemas.openxmlformats.org/drawingml/2006/picture">
                        <pic:pic>
                          <pic:nvPicPr>
                            <pic:cNvPr id="0" name="image8.jpg"/>
                            <pic:cNvPicPr preferRelativeResize="0"/>
                          </pic:nvPicPr>
                          <pic:blipFill>
                            <a:blip r:embed="rId2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90738" cy="157410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koňak </w:t>
            </w:r>
            <w:hyperlink r:id="rId2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4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2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2030370" cy="1138238"/>
                    <wp:effectExtent b="0" l="0" r="0" t="0"/>
                    <wp:docPr id="13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30370" cy="113823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píseň ‘song’ </w:t>
            </w:r>
            <w:hyperlink r:id="rId24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6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Style w:val="Subtitle"/>
        <w:pageBreakBefore w:val="0"/>
        <w:rPr/>
      </w:pPr>
      <w:bookmarkStart w:colFirst="0" w:colLast="0" w:name="_sqp9x2oirj1n" w:id="2"/>
      <w:bookmarkEnd w:id="2"/>
      <w:r w:rsidDel="00000000" w:rsidR="00000000" w:rsidRPr="00000000">
        <w:rPr>
          <w:rtl w:val="0"/>
        </w:rPr>
        <w:t xml:space="preserve">before </w:t>
      </w:r>
      <w:r w:rsidDel="00000000" w:rsidR="00000000" w:rsidRPr="00000000">
        <w:rPr>
          <w:b w:val="1"/>
          <w:i w:val="1"/>
          <w:rtl w:val="0"/>
        </w:rPr>
        <w:t xml:space="preserve">i</w:t>
      </w:r>
      <w:r w:rsidDel="00000000" w:rsidR="00000000" w:rsidRPr="00000000">
        <w:rPr>
          <w:b w:val="1"/>
          <w:rtl w:val="0"/>
        </w:rPr>
        <w:t xml:space="preserve">, </w:t>
      </w:r>
      <w:r w:rsidDel="00000000" w:rsidR="00000000" w:rsidRPr="00000000">
        <w:rPr>
          <w:b w:val="1"/>
          <w:i w:val="1"/>
          <w:rtl w:val="0"/>
        </w:rPr>
        <w:t xml:space="preserve">í</w:t>
      </w:r>
      <w:r w:rsidDel="00000000" w:rsidR="00000000" w:rsidRPr="00000000">
        <w:rPr>
          <w:b w:val="1"/>
          <w:rtl w:val="0"/>
        </w:rPr>
        <w:t xml:space="preserve">, </w:t>
      </w:r>
      <w:r w:rsidDel="00000000" w:rsidR="00000000" w:rsidRPr="00000000">
        <w:rPr>
          <w:rtl w:val="0"/>
        </w:rPr>
        <w:t xml:space="preserve">or </w:t>
      </w:r>
      <w:r w:rsidDel="00000000" w:rsidR="00000000" w:rsidRPr="00000000">
        <w:rPr>
          <w:b w:val="1"/>
          <w:i w:val="1"/>
          <w:rtl w:val="0"/>
        </w:rPr>
        <w:t xml:space="preserve">ě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However, when followed by the vowel letters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i</w:t>
      </w:r>
      <w:r w:rsidDel="00000000" w:rsidR="00000000" w:rsidRPr="00000000">
        <w:rPr>
          <w:b w:val="1"/>
          <w:sz w:val="24"/>
          <w:szCs w:val="24"/>
          <w:rtl w:val="0"/>
        </w:rPr>
        <w:t xml:space="preserve">,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í</w:t>
      </w:r>
      <w:r w:rsidDel="00000000" w:rsidR="00000000" w:rsidRPr="00000000">
        <w:rPr>
          <w:b w:val="1"/>
          <w:sz w:val="24"/>
          <w:szCs w:val="24"/>
          <w:rtl w:val="0"/>
        </w:rPr>
        <w:t xml:space="preserve">, </w:t>
      </w:r>
      <w:r w:rsidDel="00000000" w:rsidR="00000000" w:rsidRPr="00000000">
        <w:rPr>
          <w:sz w:val="24"/>
          <w:szCs w:val="24"/>
          <w:rtl w:val="0"/>
        </w:rPr>
        <w:t xml:space="preserve">or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ě</w:t>
      </w:r>
      <w:r w:rsidDel="00000000" w:rsidR="00000000" w:rsidRPr="00000000">
        <w:rPr>
          <w:sz w:val="24"/>
          <w:szCs w:val="24"/>
          <w:rtl w:val="0"/>
        </w:rPr>
        <w:t xml:space="preserve">, they are written without the háček. In other words,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d, t, n</w:t>
      </w:r>
      <w:r w:rsidDel="00000000" w:rsidR="00000000" w:rsidRPr="00000000">
        <w:rPr>
          <w:b w:val="1"/>
          <w:sz w:val="24"/>
          <w:szCs w:val="24"/>
          <w:rtl w:val="0"/>
        </w:rPr>
        <w:t xml:space="preserve"> +</w:t>
      </w: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i, í</w:t>
      </w: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  <w:rtl w:val="0"/>
        </w:rPr>
        <w:t xml:space="preserve">or</w:t>
      </w: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ě</w:t>
      </w:r>
      <w:r w:rsidDel="00000000" w:rsidR="00000000" w:rsidRPr="00000000">
        <w:rPr>
          <w:sz w:val="24"/>
          <w:szCs w:val="24"/>
          <w:rtl w:val="0"/>
        </w:rPr>
        <w:t xml:space="preserve"> are pronounced </w:t>
      </w: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ď, ť, ň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ageBreakBefore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8865.0" w:type="dxa"/>
        <w:jc w:val="left"/>
        <w:tblInd w:w="49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720"/>
        <w:gridCol w:w="4072.5"/>
        <w:gridCol w:w="4072.5"/>
        <w:tblGridChange w:id="0">
          <w:tblGrid>
            <w:gridCol w:w="720"/>
            <w:gridCol w:w="4072.5"/>
            <w:gridCol w:w="4072.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pageBreakBefore w:val="0"/>
              <w:widowControl w:val="0"/>
              <w:spacing w:line="24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C">
            <w:pPr>
              <w:pageBreakBefore w:val="0"/>
              <w:widowControl w:val="0"/>
              <w:spacing w:line="240" w:lineRule="auto"/>
              <w:ind w:left="0" w:firstLine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+ ě</w:t>
            </w:r>
          </w:p>
        </w:tc>
        <w:tc>
          <w:tcPr>
            <w:tcBorders>
              <w:top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D">
            <w:pPr>
              <w:pageBreakBefore w:val="0"/>
              <w:widowControl w:val="0"/>
              <w:spacing w:line="24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+ 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pageBreakBefore w:val="0"/>
              <w:widowControl w:val="0"/>
              <w:spacing w:line="24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ť</w:t>
            </w:r>
          </w:p>
        </w:tc>
        <w:tc>
          <w:tcPr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F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2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704975" cy="1737144"/>
                    <wp:effectExtent b="0" l="0" r="0" t="0"/>
                    <wp:docPr id="9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26"/>
                            <a:srcRect b="0" l="94" r="94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04975" cy="173714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tělo ‘body’ </w:t>
            </w:r>
            <w:hyperlink r:id="rId27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1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2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2447925" cy="1638300"/>
                    <wp:effectExtent b="0" l="0" r="0" t="0"/>
                    <wp:docPr id="8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47925" cy="1638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studenti ‘students’ </w:t>
            </w:r>
            <w:hyperlink r:id="rId3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pageBreakBefore w:val="0"/>
              <w:widowControl w:val="0"/>
              <w:spacing w:line="24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ď</w:t>
            </w:r>
          </w:p>
        </w:tc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4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3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728788" cy="1728788"/>
                    <wp:effectExtent b="0" l="0" r="0" t="0"/>
                    <wp:docPr id="11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28788" cy="17287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dělat ‘to do’ </w:t>
            </w:r>
            <w:hyperlink r:id="rId3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6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34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2447925" cy="1612900"/>
                    <wp:effectExtent b="0" l="0" r="0" t="0"/>
                    <wp:docPr id="16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47925" cy="1612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kamarádi ‘friends’ </w:t>
            </w:r>
            <w:hyperlink r:id="rId36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pageBreakBefore w:val="0"/>
              <w:widowControl w:val="0"/>
              <w:spacing w:line="240" w:lineRule="auto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ň</w:t>
            </w:r>
          </w:p>
        </w:tc>
        <w:tc>
          <w:tcPr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9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37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995488" cy="1651820"/>
                    <wp:effectExtent b="0" l="0" r="0" t="0"/>
                    <wp:docPr id="7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95488" cy="165182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něco ‘something’ </w:t>
            </w:r>
            <w:hyperlink r:id="rId3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B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hyperlink r:id="rId40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643063" cy="1643063"/>
                    <wp:effectExtent b="0" l="0" r="0" t="0"/>
                    <wp:docPr id="14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4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43063" cy="164306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pageBreakBefore w:val="0"/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nic ‘nothing’ </w:t>
            </w:r>
            <w:hyperlink r:id="rId4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D">
      <w:pPr>
        <w:pageBreakBefore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Style w:val="Subtitle"/>
        <w:pageBreakBefore w:val="0"/>
        <w:widowControl w:val="0"/>
        <w:spacing w:line="240" w:lineRule="auto"/>
        <w:rPr/>
      </w:pPr>
      <w:bookmarkStart w:colFirst="0" w:colLast="0" w:name="_mm3hicydw7qs" w:id="3"/>
      <w:bookmarkEnd w:id="3"/>
      <w:r w:rsidDel="00000000" w:rsidR="00000000" w:rsidRPr="00000000">
        <w:rPr>
          <w:i w:val="1"/>
          <w:rtl w:val="0"/>
        </w:rPr>
        <w:t xml:space="preserve">p, b, v, m</w:t>
      </w:r>
      <w:r w:rsidDel="00000000" w:rsidR="00000000" w:rsidRPr="00000000">
        <w:rPr>
          <w:rtl w:val="0"/>
        </w:rPr>
        <w:t xml:space="preserve"> + </w:t>
      </w:r>
      <w:r w:rsidDel="00000000" w:rsidR="00000000" w:rsidRPr="00000000">
        <w:rPr>
          <w:i w:val="1"/>
          <w:rtl w:val="0"/>
        </w:rPr>
        <w:t xml:space="preserve">ě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lin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When these consonants are followed by </w:t>
      </w:r>
      <w:r w:rsidDel="00000000" w:rsidR="00000000" w:rsidRPr="00000000">
        <w:rPr>
          <w:i w:val="1"/>
          <w:sz w:val="24"/>
          <w:szCs w:val="24"/>
          <w:rtl w:val="0"/>
        </w:rPr>
        <w:t xml:space="preserve">ě</w:t>
      </w:r>
      <w:r w:rsidDel="00000000" w:rsidR="00000000" w:rsidRPr="00000000">
        <w:rPr>
          <w:sz w:val="24"/>
          <w:szCs w:val="24"/>
          <w:rtl w:val="0"/>
        </w:rPr>
        <w:t xml:space="preserve">, they are pronounced with a </w:t>
      </w:r>
      <w:r w:rsidDel="00000000" w:rsidR="00000000" w:rsidRPr="00000000">
        <w:rPr>
          <w:i w:val="1"/>
          <w:sz w:val="24"/>
          <w:szCs w:val="24"/>
          <w:rtl w:val="0"/>
        </w:rPr>
        <w:t xml:space="preserve">j</w:t>
      </w:r>
      <w:r w:rsidDel="00000000" w:rsidR="00000000" w:rsidRPr="00000000">
        <w:rPr>
          <w:sz w:val="24"/>
          <w:szCs w:val="24"/>
          <w:rtl w:val="0"/>
        </w:rPr>
        <w:t xml:space="preserve"> sound. The one exception is </w:t>
      </w:r>
      <w:r w:rsidDel="00000000" w:rsidR="00000000" w:rsidRPr="00000000">
        <w:rPr>
          <w:i w:val="1"/>
          <w:sz w:val="24"/>
          <w:szCs w:val="24"/>
          <w:rtl w:val="0"/>
        </w:rPr>
        <w:t xml:space="preserve">m </w:t>
      </w:r>
      <w:r w:rsidDel="00000000" w:rsidR="00000000" w:rsidRPr="00000000">
        <w:rPr>
          <w:sz w:val="24"/>
          <w:szCs w:val="24"/>
          <w:rtl w:val="0"/>
        </w:rPr>
        <w:t xml:space="preserve">+ </w:t>
      </w:r>
      <w:r w:rsidDel="00000000" w:rsidR="00000000" w:rsidRPr="00000000">
        <w:rPr>
          <w:i w:val="1"/>
          <w:sz w:val="24"/>
          <w:szCs w:val="24"/>
          <w:rtl w:val="0"/>
        </w:rPr>
        <w:t xml:space="preserve">ě</w:t>
      </w:r>
      <w:r w:rsidDel="00000000" w:rsidR="00000000" w:rsidRPr="00000000">
        <w:rPr>
          <w:sz w:val="24"/>
          <w:szCs w:val="24"/>
          <w:rtl w:val="0"/>
        </w:rPr>
        <w:t xml:space="preserve">, which is pronounced with </w:t>
      </w:r>
      <w:r w:rsidDel="00000000" w:rsidR="00000000" w:rsidRPr="00000000">
        <w:rPr>
          <w:i w:val="1"/>
          <w:sz w:val="24"/>
          <w:szCs w:val="24"/>
          <w:rtl w:val="0"/>
        </w:rPr>
        <w:t xml:space="preserve">ň </w:t>
      </w:r>
      <w:r w:rsidDel="00000000" w:rsidR="00000000" w:rsidRPr="00000000">
        <w:rPr>
          <w:sz w:val="24"/>
          <w:szCs w:val="24"/>
          <w:rtl w:val="0"/>
        </w:rPr>
        <w:t xml:space="preserve">sound after the m (i.e. </w:t>
      </w:r>
      <w:r w:rsidDel="00000000" w:rsidR="00000000" w:rsidRPr="00000000">
        <w:rPr>
          <w:i w:val="1"/>
          <w:sz w:val="24"/>
          <w:szCs w:val="24"/>
          <w:rtl w:val="0"/>
        </w:rPr>
        <w:t xml:space="preserve">mě</w:t>
      </w:r>
      <w:r w:rsidDel="00000000" w:rsidR="00000000" w:rsidRPr="00000000">
        <w:rPr>
          <w:sz w:val="24"/>
          <w:szCs w:val="24"/>
          <w:rtl w:val="0"/>
        </w:rPr>
        <w:t xml:space="preserve"> is pronounced [</w:t>
      </w:r>
      <w:r w:rsidDel="00000000" w:rsidR="00000000" w:rsidRPr="00000000">
        <w:rPr>
          <w:i w:val="1"/>
          <w:sz w:val="24"/>
          <w:szCs w:val="24"/>
          <w:rtl w:val="0"/>
        </w:rPr>
        <w:t xml:space="preserve">mně</w:t>
      </w:r>
      <w:r w:rsidDel="00000000" w:rsidR="00000000" w:rsidRPr="00000000">
        <w:rPr>
          <w:sz w:val="24"/>
          <w:szCs w:val="24"/>
          <w:rtl w:val="0"/>
        </w:rPr>
        <w:t xml:space="preserve">]).</w:t>
      </w:r>
    </w:p>
    <w:p w:rsidR="00000000" w:rsidDel="00000000" w:rsidP="00000000" w:rsidRDefault="00000000" w:rsidRPr="00000000" w14:paraId="00000032">
      <w:pPr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8865.0" w:type="dxa"/>
        <w:jc w:val="left"/>
        <w:tblInd w:w="49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150.1090700344432"/>
        <w:gridCol w:w="3857.445464982779"/>
        <w:gridCol w:w="3857.445464982779"/>
        <w:tblGridChange w:id="0">
          <w:tblGrid>
            <w:gridCol w:w="1150.1090700344432"/>
            <w:gridCol w:w="3857.445464982779"/>
            <w:gridCol w:w="3857.445464982779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</w:tcBorders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Is pronounced as if it were spelled...</w:t>
            </w:r>
          </w:p>
        </w:tc>
        <w:tc>
          <w:tcPr>
            <w:tcBorders>
              <w:top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Example word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 + ě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[pje]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hyperlink r:id="rId4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2314575" cy="1819275"/>
                    <wp:effectExtent b="0" l="0" r="0" t="0"/>
                    <wp:docPr id="12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44"/>
                            <a:srcRect b="4752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14575" cy="18192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pěna ‘foam’ </w:t>
            </w:r>
            <w:hyperlink r:id="rId4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sz w:val="24"/>
                <w:szCs w:val="24"/>
                <w:vertAlign w:val="superscript"/>
              </w:rPr>
              <w:footnoteReference w:customMarkFollows="0" w:id="0"/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 + ě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[bje]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hyperlink r:id="rId46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627550" cy="2109788"/>
                    <wp:effectExtent b="0" l="0" r="0" t="0"/>
                    <wp:docPr id="1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27550" cy="21097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běhat ‘to run’ </w:t>
            </w:r>
            <w:hyperlink r:id="rId4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v + ě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[vje]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hyperlink r:id="rId4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2314575" cy="1803400"/>
                    <wp:effectExtent b="0" l="0" r="0" t="0"/>
                    <wp:docPr id="5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5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14575" cy="1803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Věra ‘Vera’ </w:t>
            </w:r>
            <w:hyperlink r:id="rId51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 + ě</w:t>
            </w:r>
          </w:p>
        </w:tc>
        <w:tc>
          <w:tcPr>
            <w:tcBorders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[mně]</w:t>
            </w:r>
          </w:p>
        </w:tc>
        <w:tc>
          <w:tcPr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hyperlink r:id="rId5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2314575" cy="1549400"/>
                    <wp:effectExtent b="0" l="0" r="0" t="0"/>
                    <wp:docPr id="2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5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14575" cy="1549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město ‘city’ </w:t>
            </w:r>
            <w:hyperlink r:id="rId54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  <w:rtl w:val="0"/>
                </w:rPr>
                <w:t xml:space="preserve">(listen)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6">
      <w:pPr>
        <w:pageBreakBefore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ageBreakBefore w:val="0"/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ageBreakBefore w:val="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Images used in this document come from </w:t>
      </w:r>
      <w:hyperlink r:id="rId55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sz w:val="24"/>
          <w:szCs w:val="24"/>
          <w:rtl w:val="0"/>
        </w:rPr>
        <w:t xml:space="preserve">.</w:t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otnote w:id="0">
    <w:p w:rsidR="00000000" w:rsidDel="00000000" w:rsidP="00000000" w:rsidRDefault="00000000" w:rsidRPr="00000000" w14:paraId="00000049">
      <w:pPr>
        <w:pageBreakBefore w:val="0"/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This might seem like a strange word to know, but Czechs actually value the </w:t>
      </w:r>
      <w:r w:rsidDel="00000000" w:rsidR="00000000" w:rsidRPr="00000000">
        <w:rPr>
          <w:sz w:val="20"/>
          <w:szCs w:val="20"/>
          <w:rtl w:val="0"/>
        </w:rPr>
        <w:t xml:space="preserve">foam on the top of a beer</w:t>
      </w:r>
      <w:r w:rsidDel="00000000" w:rsidR="00000000" w:rsidRPr="00000000">
        <w:rPr>
          <w:sz w:val="20"/>
          <w:szCs w:val="20"/>
          <w:rtl w:val="0"/>
        </w:rPr>
        <w:t xml:space="preserve"> more than you might expect. It is a sign that the beer was freshly poured and also contributes to aromatic qualities of the beer. In fact, receiving a beer without a foaming head at the top is almost unheard of in any decent establishment.</w:t>
      </w:r>
    </w:p>
  </w:footnote>
</w:footnote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commons.wikimedia.org/wiki/File:Empty_set.svg" TargetMode="External"/><Relationship Id="rId42" Type="http://schemas.openxmlformats.org/officeDocument/2006/relationships/hyperlink" Target="https://realityczech.org/wp-content/uploads/Unit-1-Krystyna-nic.mp3" TargetMode="External"/><Relationship Id="rId41" Type="http://schemas.openxmlformats.org/officeDocument/2006/relationships/image" Target="media/image5.png"/><Relationship Id="rId44" Type="http://schemas.openxmlformats.org/officeDocument/2006/relationships/image" Target="media/image14.png"/><Relationship Id="rId43" Type="http://schemas.openxmlformats.org/officeDocument/2006/relationships/hyperlink" Target="https://commons.wikimedia.org/wiki/File:Kelt_(pivo).JPG" TargetMode="External"/><Relationship Id="rId46" Type="http://schemas.openxmlformats.org/officeDocument/2006/relationships/hyperlink" Target="https://www.maxpixel.net/Running-Hurry-Up-Sport-Speed-Fast-Run-Silhouette-3199472" TargetMode="External"/><Relationship Id="rId45" Type="http://schemas.openxmlformats.org/officeDocument/2006/relationships/hyperlink" Target="https://realityczech.org/wp-content/uploads/Unit-1-Krystyna-pena.mp3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s://realityczech.org/wp-content/uploads/Unit-1-kotata.mp3" TargetMode="External"/><Relationship Id="rId48" Type="http://schemas.openxmlformats.org/officeDocument/2006/relationships/hyperlink" Target="https://realityczech.org/wp-content/uploads/Unit-1-Krystyna-behat.mp3" TargetMode="External"/><Relationship Id="rId47" Type="http://schemas.openxmlformats.org/officeDocument/2006/relationships/image" Target="media/image13.png"/><Relationship Id="rId49" Type="http://schemas.openxmlformats.org/officeDocument/2006/relationships/hyperlink" Target="https://commons.wikimedia.org/wiki/File:Natalia_Kuchinskaya,_V%C4%9Bra_%C4%8C%C3%A1slavsk%C3%A1_1967.jpg" TargetMode="Externa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openxmlformats.org/officeDocument/2006/relationships/hyperlink" Target="https://www.publicdomainpictures.net/en/view-image.php?image=150567&amp;picture=cute-kittens-and-adventurous" TargetMode="External"/><Relationship Id="rId8" Type="http://schemas.openxmlformats.org/officeDocument/2006/relationships/image" Target="media/image11.png"/><Relationship Id="rId31" Type="http://schemas.openxmlformats.org/officeDocument/2006/relationships/hyperlink" Target="https://cdn.pixabay.com/photo/2016/08/23/15/11/checklist-1614702_960_720.png" TargetMode="External"/><Relationship Id="rId30" Type="http://schemas.openxmlformats.org/officeDocument/2006/relationships/hyperlink" Target="https://realityczech.org/wp-content/uploads/Unit-1-Krystyna-studenti.mp3" TargetMode="External"/><Relationship Id="rId33" Type="http://schemas.openxmlformats.org/officeDocument/2006/relationships/hyperlink" Target="https://realityczech.org/wp-content/uploads/Unit-1-Krystyna-delat.mp3" TargetMode="External"/><Relationship Id="rId32" Type="http://schemas.openxmlformats.org/officeDocument/2006/relationships/image" Target="media/image2.png"/><Relationship Id="rId35" Type="http://schemas.openxmlformats.org/officeDocument/2006/relationships/image" Target="media/image16.png"/><Relationship Id="rId34" Type="http://schemas.openxmlformats.org/officeDocument/2006/relationships/hyperlink" Target="https://pxhere.com/en/photo/909009" TargetMode="External"/><Relationship Id="rId37" Type="http://schemas.openxmlformats.org/officeDocument/2006/relationships/hyperlink" Target="https://commons.wikimedia.org/wiki/File:3_D-Box.jpg" TargetMode="External"/><Relationship Id="rId36" Type="http://schemas.openxmlformats.org/officeDocument/2006/relationships/hyperlink" Target="https://realityczech.org/wp-content/uploads/Unit-1-Krystyna-kamaradi.mp3" TargetMode="External"/><Relationship Id="rId39" Type="http://schemas.openxmlformats.org/officeDocument/2006/relationships/hyperlink" Target="https://realityczech.org/wp-content/uploads/Unit-1-Krystyna-neco.mp3" TargetMode="External"/><Relationship Id="rId38" Type="http://schemas.openxmlformats.org/officeDocument/2006/relationships/image" Target="media/image4.png"/><Relationship Id="rId20" Type="http://schemas.openxmlformats.org/officeDocument/2006/relationships/image" Target="media/image8.jpg"/><Relationship Id="rId22" Type="http://schemas.openxmlformats.org/officeDocument/2006/relationships/hyperlink" Target="https://cdn.pixabay.com/photo/2015/07/08/10/39/notes-835869_960_720.png" TargetMode="External"/><Relationship Id="rId21" Type="http://schemas.openxmlformats.org/officeDocument/2006/relationships/hyperlink" Target="https://realityczech.org/wp-content/uploads/Unit-1-Krystyna-konak.mp3" TargetMode="External"/><Relationship Id="rId24" Type="http://schemas.openxmlformats.org/officeDocument/2006/relationships/hyperlink" Target="https://realityczech.org/wp-content/uploads/Unit-1-Krystyna-pisen.mp3" TargetMode="External"/><Relationship Id="rId23" Type="http://schemas.openxmlformats.org/officeDocument/2006/relationships/image" Target="media/image15.png"/><Relationship Id="rId26" Type="http://schemas.openxmlformats.org/officeDocument/2006/relationships/image" Target="media/image1.png"/><Relationship Id="rId25" Type="http://schemas.openxmlformats.org/officeDocument/2006/relationships/hyperlink" Target="https://commons.wikimedia.org/wiki/File:Upper_body_front.png" TargetMode="External"/><Relationship Id="rId28" Type="http://schemas.openxmlformats.org/officeDocument/2006/relationships/hyperlink" Target="https://pxhere.com/en/photo/115778" TargetMode="External"/><Relationship Id="rId27" Type="http://schemas.openxmlformats.org/officeDocument/2006/relationships/hyperlink" Target="https://realityczech.org/wp-content/uploads/Unit-1-Krystyna-telo.mp3" TargetMode="External"/><Relationship Id="rId29" Type="http://schemas.openxmlformats.org/officeDocument/2006/relationships/image" Target="media/image3.png"/><Relationship Id="rId51" Type="http://schemas.openxmlformats.org/officeDocument/2006/relationships/hyperlink" Target="https://realityczech.org/wp-content/uploads/Unit-1-Krystyna-Vera.mp3" TargetMode="External"/><Relationship Id="rId50" Type="http://schemas.openxmlformats.org/officeDocument/2006/relationships/image" Target="media/image10.png"/><Relationship Id="rId53" Type="http://schemas.openxmlformats.org/officeDocument/2006/relationships/image" Target="media/image12.png"/><Relationship Id="rId52" Type="http://schemas.openxmlformats.org/officeDocument/2006/relationships/hyperlink" Target="https://pixabay.com/en/city-brno-czech-republic-2994783/" TargetMode="External"/><Relationship Id="rId11" Type="http://schemas.openxmlformats.org/officeDocument/2006/relationships/image" Target="media/image7.png"/><Relationship Id="rId55" Type="http://schemas.openxmlformats.org/officeDocument/2006/relationships/hyperlink" Target="https://docs.google.com/document/d/1zSVvQ1Po3k4-Sw8GvM3yMtkm03U0BWQ_nCFanxEs1Es/edit#heading=h.otdy508zc0z6" TargetMode="External"/><Relationship Id="rId10" Type="http://schemas.openxmlformats.org/officeDocument/2006/relationships/hyperlink" Target="https://pxhere.com/cs/photo/1030197" TargetMode="External"/><Relationship Id="rId54" Type="http://schemas.openxmlformats.org/officeDocument/2006/relationships/hyperlink" Target="https://realityczech.org/wp-content/uploads/Unit-1-Krystyna-mesto.mp3" TargetMode="External"/><Relationship Id="rId13" Type="http://schemas.openxmlformats.org/officeDocument/2006/relationships/hyperlink" Target="https://commons.wikimedia.org/wiki/File:EU-Hungary.svg" TargetMode="External"/><Relationship Id="rId12" Type="http://schemas.openxmlformats.org/officeDocument/2006/relationships/hyperlink" Target="https://realityczech.org/wp-content/uploads/Unit-1-tuknout.mp3" TargetMode="External"/><Relationship Id="rId15" Type="http://schemas.openxmlformats.org/officeDocument/2006/relationships/hyperlink" Target="https://realityczech.org/wp-content/uploads/Unit-1-madarsko.mp3" TargetMode="External"/><Relationship Id="rId14" Type="http://schemas.openxmlformats.org/officeDocument/2006/relationships/image" Target="media/image6.png"/><Relationship Id="rId17" Type="http://schemas.openxmlformats.org/officeDocument/2006/relationships/image" Target="media/image9.png"/><Relationship Id="rId16" Type="http://schemas.openxmlformats.org/officeDocument/2006/relationships/hyperlink" Target="https://commons.wikimedia.org/wiki/File:Vladimir_Spidla,_2007_crop.jpg" TargetMode="External"/><Relationship Id="rId19" Type="http://schemas.openxmlformats.org/officeDocument/2006/relationships/hyperlink" Target="https://pixabay.com/en/cognac-brandy-alcohol-3404/" TargetMode="External"/><Relationship Id="rId18" Type="http://schemas.openxmlformats.org/officeDocument/2006/relationships/hyperlink" Target="https://realityczech.org/wp-content/uploads/Unit-1-Krystyna-Vladovi.mp3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