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tak…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Vyprat.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Mýt nádobí, musíme si uvařit občas. Pavel mi dělá snídaně.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prát / vyprat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do the laundry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mýt / umýt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wash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vařit / uvařit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cook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Doma myju nádobí, starám se o děti, uklízím a starám se o dům a zahradu.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starat se 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(+ACC) - to take care of, look after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zahrada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garden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Musím uklízet trochu, vynést koš, umýt nádobí, vyluxovat, vyprat prádlo někdy.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vynášet / vynést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take out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trash can (used here to mean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odpadky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trash)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den se umyju, vyčistím si zuby, a když je všední den, tak chodím do školy a o víkendu většinou uklízím.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umýt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wash up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