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/>
      </w:pPr>
      <w:bookmarkStart w:colFirst="0" w:colLast="0" w:name="_rexf5c2dg49u" w:id="0"/>
      <w:bookmarkEnd w:id="0"/>
      <w:r w:rsidDel="00000000" w:rsidR="00000000" w:rsidRPr="00000000">
        <w:rPr>
          <w:rtl w:val="0"/>
        </w:rPr>
        <w:t xml:space="preserve">8.3 - Locative singular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5943600" cy="240982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16981" l="0" r="0" t="1482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4098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locative singular is the case that is used after the following prepositions in Czech: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72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v/ve </w:t>
      </w:r>
      <w:r w:rsidDel="00000000" w:rsidR="00000000" w:rsidRPr="00000000">
        <w:rPr>
          <w:sz w:val="24"/>
          <w:szCs w:val="24"/>
          <w:rtl w:val="0"/>
        </w:rPr>
        <w:t xml:space="preserve">‘in, at’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540" w:firstLine="18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na </w:t>
      </w:r>
      <w:r w:rsidDel="00000000" w:rsidR="00000000" w:rsidRPr="00000000">
        <w:rPr>
          <w:sz w:val="24"/>
          <w:szCs w:val="24"/>
          <w:rtl w:val="0"/>
        </w:rPr>
        <w:t xml:space="preserve">‘on, at’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540" w:firstLine="1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540" w:firstLine="18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 </w:t>
      </w:r>
      <w:r w:rsidDel="00000000" w:rsidR="00000000" w:rsidRPr="00000000">
        <w:rPr>
          <w:sz w:val="24"/>
          <w:szCs w:val="24"/>
          <w:rtl w:val="0"/>
        </w:rPr>
        <w:t xml:space="preserve">‘about’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540" w:firstLine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‘after’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540" w:firstLine="1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endings are used when forming the locative plural. As you can see, there are a few instances where more than one ending is used. This lesson will focus on these endings.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1980"/>
        <w:gridCol w:w="1980"/>
        <w:gridCol w:w="1980"/>
        <w:gridCol w:w="990"/>
        <w:gridCol w:w="990"/>
        <w:tblGridChange w:id="0">
          <w:tblGrid>
            <w:gridCol w:w="915"/>
            <w:gridCol w:w="1980"/>
            <w:gridCol w:w="1980"/>
            <w:gridCol w:w="1980"/>
            <w:gridCol w:w="990"/>
            <w:gridCol w:w="99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or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or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Soft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-ovi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or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-i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-í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Masculine animate: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7785"/>
        <w:tblGridChange w:id="0">
          <w:tblGrid>
            <w:gridCol w:w="1575"/>
            <w:gridCol w:w="7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Masculine animate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-ovi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all animate nouns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Jakub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Jakubovi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Jakub’</w:t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doktor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doktorovi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a doctor’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soused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sousedovi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a neighbor’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soft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ovi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for proper nouns:  </w:t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Aleš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Alešovi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Aleš’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Tomáš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Tomášovi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Tomáš’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for 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ll other masculine animate soft stem nouns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učitel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→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o učiteli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a teacher’</w:t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(though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učitelovi</w:t>
            </w:r>
            <w:r w:rsidDel="00000000" w:rsidR="00000000" w:rsidRPr="00000000">
              <w:rPr>
                <w:rtl w:val="0"/>
              </w:rPr>
              <w:t xml:space="preserve"> is also possible)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 </w:t>
      </w:r>
      <w:r w:rsidDel="00000000" w:rsidR="00000000" w:rsidRPr="00000000">
        <w:rPr>
          <w:sz w:val="24"/>
          <w:szCs w:val="24"/>
          <w:rtl w:val="0"/>
        </w:rPr>
        <w:t xml:space="preserve">strings of animate/proper nouns behave slightly differently than animate words on their own.  Even though all words of a proper name are animate, only the last word of the phrase uses the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-ovi</w:t>
      </w:r>
      <w:r w:rsidDel="00000000" w:rsidR="00000000" w:rsidRPr="00000000">
        <w:rPr>
          <w:sz w:val="24"/>
          <w:szCs w:val="24"/>
          <w:rtl w:val="0"/>
        </w:rPr>
        <w:t xml:space="preserve"> ending.  The preceding nouns take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-u</w:t>
      </w:r>
      <w:r w:rsidDel="00000000" w:rsidR="00000000" w:rsidRPr="00000000">
        <w:rPr>
          <w:sz w:val="24"/>
          <w:szCs w:val="24"/>
          <w:rtl w:val="0"/>
        </w:rPr>
        <w:t xml:space="preserve"> if hard and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-i</w:t>
      </w:r>
      <w:r w:rsidDel="00000000" w:rsidR="00000000" w:rsidRPr="00000000">
        <w:rPr>
          <w:sz w:val="24"/>
          <w:szCs w:val="24"/>
          <w:rtl w:val="0"/>
        </w:rPr>
        <w:t xml:space="preserve"> if soft. This is a somewhat esoteric rule and is often not followed in colloquial speech, but is worth knowing, at least passively.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 Janu Svěrákovi</w:t>
      </w:r>
      <w:r w:rsidDel="00000000" w:rsidR="00000000" w:rsidRPr="00000000">
        <w:rPr>
          <w:sz w:val="24"/>
          <w:szCs w:val="24"/>
          <w:rtl w:val="0"/>
        </w:rPr>
        <w:t xml:space="preserve">  ‘about Jan Svěrák’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 Miloši Formanovi</w:t>
      </w:r>
      <w:r w:rsidDel="00000000" w:rsidR="00000000" w:rsidRPr="00000000">
        <w:rPr>
          <w:sz w:val="24"/>
          <w:szCs w:val="24"/>
          <w:rtl w:val="0"/>
        </w:rPr>
        <w:t xml:space="preserve">  ‘about Miloš Forman’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7785"/>
        <w:tblGridChange w:id="0">
          <w:tblGrid>
            <w:gridCol w:w="1575"/>
            <w:gridCol w:w="7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Masculine inanimate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-e /-ě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for most nouns ending in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t,d,s,z,l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(see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summary of softenings/mutations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u w:val="single"/>
                <w:rtl w:val="0"/>
              </w:rPr>
              <w:t xml:space="preserve">t, d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byt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 bytě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apartment’</w:t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hrad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hradě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castle’</w:t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i w:val="1"/>
                <w:i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u w:val="single"/>
                <w:rtl w:val="0"/>
              </w:rPr>
              <w:t xml:space="preserve">s, l, z</w:t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without háček (i.e. written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ze, 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les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lese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forest’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kostel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kostele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church’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for most other nouns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park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 parku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park’</w:t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sever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severu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north’</w:t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exception: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there are some exceptions:</w:t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dům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domě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house’</w:t>
            </w:r>
          </w:p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strom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stromě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tree’</w:t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chléb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 chlebě/chlebu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bread’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soft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for all soft stem masculine inanimate nouns:</w:t>
            </w:r>
          </w:p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počítač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počítači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‘about a computer’</w:t>
            </w:r>
          </w:p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pokoj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pokoji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room’</w:t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7785"/>
        <w:tblGridChange w:id="0">
          <w:tblGrid>
            <w:gridCol w:w="1575"/>
            <w:gridCol w:w="7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Feminine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-e /-ě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(see </w:t>
            </w: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summary of softenings/mutations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banka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bance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a bank’</w:t>
            </w:r>
          </w:p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Praha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Praze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Prague’</w:t>
            </w:r>
          </w:p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střecha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střeše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‘on the roof’</w:t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sestra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sestře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a sister’</w:t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mapa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mapě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‘on the map’</w:t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kráva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krávě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‘about a cow’</w:t>
            </w:r>
          </w:p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chata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chatě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cottage’</w:t>
            </w:r>
          </w:p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třída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 třídě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classroom’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kavárna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kavárně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café’</w:t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Again, the sounds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u w:val="single"/>
                <w:rtl w:val="0"/>
              </w:rPr>
              <w:t xml:space="preserve">s, z, 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are never ‘softened’ and thus stems ending in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s, z, 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will be written without a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háček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ˇ.</w:t>
            </w:r>
          </w:p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menza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menze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cafeteria’</w:t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kasa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 kase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safe’</w:t>
            </w:r>
          </w:p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škola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 škole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school’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soft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consonant 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kolej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koleji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dorm’</w:t>
            </w:r>
          </w:p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vowel 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učebnice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 učebnici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textbook’</w:t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7785"/>
        <w:tblGridChange w:id="0">
          <w:tblGrid>
            <w:gridCol w:w="1575"/>
            <w:gridCol w:w="7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Neuter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velars 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u w:val="single"/>
                <w:rtl w:val="0"/>
              </w:rPr>
              <w:t xml:space="preserve">k, h, g, ch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used for all neuter nouns whose stems end in velars 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k, h, g, 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oko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‘eye’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oku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eye’</w:t>
            </w:r>
          </w:p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other consonants the ending is generally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-e/ě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plus applicable softening (see </w:t>
            </w: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summary of softenings/mutations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kino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 kině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theater’</w:t>
            </w:r>
          </w:p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jídlo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 jídle/jídlu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food’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soft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-i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(for nouns that normally end in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moře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na/v moři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sea’</w:t>
            </w:r>
          </w:p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letiště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letišti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airport’</w:t>
            </w:r>
          </w:p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-í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(for nouns ending in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-í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náměstí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náměstí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‘on the square’</w:t>
            </w:r>
          </w:p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nádraží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nádraží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train station’</w:t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Images used in this document come from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HQqSIqnOQo0_cjj3ZbBSyDe-fgq1AEZhIxgZ_W4CIUA/edit#heading=h.wis7971b6v3" TargetMode="External"/><Relationship Id="rId10" Type="http://schemas.openxmlformats.org/officeDocument/2006/relationships/hyperlink" Target="https://drive.google.com/open?id=1CWhG25sk4BHTq8c2VMNHclu1GnjO52KA-F7RtjqbzQk" TargetMode="External"/><Relationship Id="rId9" Type="http://schemas.openxmlformats.org/officeDocument/2006/relationships/hyperlink" Target="https://docs.google.com/document/d/e/2PACX-1vQuHE2pQE8DoPZJ74Z6-VCiQxT6srmXJPHxiti2zwngTk6FoueDiaeH_89Y0hyFoV7yqjp6PL3T3S-S/pub" TargetMode="External"/><Relationship Id="rId5" Type="http://schemas.openxmlformats.org/officeDocument/2006/relationships/styles" Target="styles.xml"/><Relationship Id="rId6" Type="http://schemas.openxmlformats.org/officeDocument/2006/relationships/hyperlink" Target="https://pixabay.com/illustrations/map-location-navigation-symbol-525349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rive.google.com/open?id=1CWhG25sk4BHTq8c2VMNHclu1GnjO52KA-F7Rtjqbz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