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jl2sqjo1pq3z" w:id="0"/>
      <w:bookmarkEnd w:id="0"/>
      <w:r w:rsidDel="00000000" w:rsidR="00000000" w:rsidRPr="00000000">
        <w:rPr>
          <w:rtl w:val="0"/>
        </w:rPr>
        <w:t xml:space="preserve">9.1 - Ordinal Numbers (1st - 31st)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bCs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 learned ordinal numbers in </w:t>
      </w:r>
      <w:hyperlink r:id="rId6">
        <w:r w:rsidDel="00000000" w:rsidR="00000000" w:rsidRPr="00000000">
          <w:rPr>
            <w:color w:val="1155cc"/>
            <w:sz w:val="24"/>
            <w:szCs w:val="24"/>
            <w:u w:val="single"/>
            <w:rtl w:val="0"/>
          </w:rPr>
          <w:t xml:space="preserve">7.2 - Ordinal Numbers (1st-12th)</w:t>
        </w:r>
      </w:hyperlink>
      <w:r w:rsidDel="00000000" w:rsidR="00000000" w:rsidRPr="00000000">
        <w:rPr>
          <w:sz w:val="24"/>
          <w:szCs w:val="24"/>
          <w:rtl w:val="0"/>
        </w:rPr>
        <w:t xml:space="preserve"> in order to use conversational clock time. Now we’re going to need them again to tell dates.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table below lists ordinal numbers (first, second, third, etc. -- i.e. the numbers used to tell what order something comes in). These ordinal numbers are important now because we are going to learn how to state the date. Therefore, the table below gives 1st - 31st.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40" w:line="240" w:lineRule="auto"/>
        <w:rPr>
          <w:sz w:val="24"/>
          <w:szCs w:val="24"/>
        </w:rPr>
      </w:pPr>
      <w:r w:rsidDel="00000000" w:rsidR="00000000" w:rsidRPr="00000000">
        <w:rPr>
          <w:rtl w:val="0"/>
        </w:rPr>
      </w:r>
    </w:p>
    <w:tbl>
      <w:tblPr>
        <w:tblStyle w:val="Table1"/>
        <w:tblW w:w="8909.76"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0"/>
        <w:gridCol w:w="2309.76"/>
        <w:gridCol w:w="990"/>
        <w:tblGridChange w:id="0">
          <w:tblGrid>
            <w:gridCol w:w="5610"/>
            <w:gridCol w:w="2309.76"/>
            <w:gridCol w:w="990"/>
          </w:tblGrid>
        </w:tblGridChange>
      </w:tblGrid>
      <w:tr>
        <w:trPr>
          <w:cantSplit w:val="0"/>
          <w:tblHeader w:val="0"/>
        </w:trPr>
        <w:tc>
          <w:tcPr>
            <w:vMerge w:val="restart"/>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As you can see from this table, many of the ordinal numbers look very much like their cardinal counterparts. You really can just memorize them, however here are a few things that might help you:</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For many of them, all you have to do is add -ý.</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For the numbers </w:t>
            </w:r>
            <w:r w:rsidDel="00000000" w:rsidR="00000000" w:rsidRPr="00000000">
              <w:rPr>
                <w:i w:val="1"/>
                <w:iCs w:val="1"/>
                <w:sz w:val="24"/>
                <w:szCs w:val="24"/>
                <w:rtl w:val="0"/>
              </w:rPr>
              <w:t xml:space="preserve">pět, devět, deset, dvacet, třicet</w:t>
            </w:r>
            <w:r w:rsidDel="00000000" w:rsidR="00000000" w:rsidRPr="00000000">
              <w:rPr>
                <w:sz w:val="24"/>
                <w:szCs w:val="24"/>
                <w:rtl w:val="0"/>
              </w:rPr>
              <w:t xml:space="preserve">, you just have to change </w:t>
            </w:r>
            <w:r w:rsidDel="00000000" w:rsidR="00000000" w:rsidRPr="00000000">
              <w:rPr>
                <w:i w:val="1"/>
                <w:iCs w:val="1"/>
                <w:sz w:val="24"/>
                <w:szCs w:val="24"/>
                <w:rtl w:val="0"/>
              </w:rPr>
              <w:t xml:space="preserve">-et/ět</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iCs w:val="1"/>
                <w:sz w:val="24"/>
                <w:szCs w:val="24"/>
                <w:rtl w:val="0"/>
              </w:rPr>
              <w:t xml:space="preserve">átý</w:t>
            </w:r>
            <w:r w:rsidDel="00000000" w:rsidR="00000000" w:rsidRPr="00000000">
              <w:rPr>
                <w:sz w:val="24"/>
                <w:szCs w:val="24"/>
                <w:rtl w:val="0"/>
              </w:rPr>
              <w:t xml:space="preserve">, </w:t>
            </w:r>
            <w:r w:rsidDel="00000000" w:rsidR="00000000" w:rsidRPr="00000000">
              <w:rPr>
                <w:i w:val="1"/>
                <w:iCs w:val="1"/>
                <w:sz w:val="24"/>
                <w:szCs w:val="24"/>
                <w:rtl w:val="0"/>
              </w:rPr>
              <w:t xml:space="preserve">pět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i w:val="1"/>
                <w:iCs w:val="1"/>
                <w:sz w:val="24"/>
                <w:szCs w:val="24"/>
                <w:rtl w:val="0"/>
              </w:rPr>
              <w:t xml:space="preserve">pátý</w:t>
            </w:r>
            <w:r w:rsidDel="00000000" w:rsidR="00000000" w:rsidRPr="00000000">
              <w:rPr>
                <w:sz w:val="24"/>
                <w:szCs w:val="24"/>
                <w:rtl w:val="0"/>
              </w:rPr>
              <w:t xml:space="preserve">, </w:t>
            </w:r>
            <w:r w:rsidDel="00000000" w:rsidR="00000000" w:rsidRPr="00000000">
              <w:rPr>
                <w:i w:val="1"/>
                <w:iCs w:val="1"/>
                <w:sz w:val="24"/>
                <w:szCs w:val="24"/>
                <w:rtl w:val="0"/>
              </w:rPr>
              <w:t xml:space="preserve">dvacet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i w:val="1"/>
                <w:iCs w:val="1"/>
                <w:sz w:val="24"/>
                <w:szCs w:val="24"/>
                <w:rtl w:val="0"/>
              </w:rPr>
              <w:t xml:space="preserve">dvacátý</w:t>
            </w:r>
            <w:r w:rsidDel="00000000" w:rsidR="00000000" w:rsidRPr="00000000">
              <w:rPr>
                <w:sz w:val="24"/>
                <w:szCs w:val="24"/>
                <w:rtl w:val="0"/>
              </w:rPr>
              <w:t xml:space="preserve">, etc.</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Note that with numbers such as 21st, 22nd, etc., both numbers in Czech are ordinal, i.e. </w:t>
            </w:r>
            <w:r w:rsidDel="00000000" w:rsidR="00000000" w:rsidRPr="00000000">
              <w:rPr>
                <w:i w:val="1"/>
                <w:iCs w:val="1"/>
                <w:sz w:val="24"/>
                <w:szCs w:val="24"/>
                <w:rtl w:val="0"/>
              </w:rPr>
              <w:t xml:space="preserve">dvacátý první</w:t>
            </w:r>
            <w:r w:rsidDel="00000000" w:rsidR="00000000" w:rsidRPr="00000000">
              <w:rPr>
                <w:sz w:val="24"/>
                <w:szCs w:val="24"/>
                <w:rtl w:val="0"/>
              </w:rPr>
              <w:t xml:space="preserve">. Alternate forms also exist where the numbers are reversed (</w:t>
            </w:r>
            <w:r w:rsidDel="00000000" w:rsidR="00000000" w:rsidRPr="00000000">
              <w:rPr>
                <w:i w:val="1"/>
                <w:iCs w:val="1"/>
                <w:sz w:val="24"/>
                <w:szCs w:val="24"/>
                <w:rtl w:val="0"/>
              </w:rPr>
              <w:t xml:space="preserve">jednadvacátý</w:t>
            </w:r>
            <w:r w:rsidDel="00000000" w:rsidR="00000000" w:rsidRPr="00000000">
              <w:rPr>
                <w:sz w:val="24"/>
                <w:szCs w:val="24"/>
                <w:rtl w:val="0"/>
              </w:rPr>
              <w:t xml:space="preserve">, </w:t>
            </w:r>
            <w:r w:rsidDel="00000000" w:rsidR="00000000" w:rsidRPr="00000000">
              <w:rPr>
                <w:i w:val="1"/>
                <w:iCs w:val="1"/>
                <w:sz w:val="24"/>
                <w:szCs w:val="24"/>
                <w:rtl w:val="0"/>
              </w:rPr>
              <w:t xml:space="preserve">dvaadvacátý</w:t>
            </w:r>
            <w:r w:rsidDel="00000000" w:rsidR="00000000" w:rsidRPr="00000000">
              <w:rPr>
                <w:sz w:val="24"/>
                <w:szCs w:val="24"/>
                <w:rtl w:val="0"/>
              </w:rPr>
              <w:t xml:space="preserve">, etc.)</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rFonts w:ascii="Times New Roman" w:cs="Times New Roman" w:eastAsia="Times New Roman" w:hAnsi="Times New Roman"/>
                <w:sz w:val="24"/>
                <w:szCs w:val="24"/>
                <w:u w:val="none"/>
              </w:rPr>
            </w:pPr>
            <w:r w:rsidDel="00000000" w:rsidR="00000000" w:rsidRPr="00000000">
              <w:rPr>
                <w:b w:val="1"/>
                <w:bCs w:val="1"/>
                <w:sz w:val="24"/>
                <w:szCs w:val="24"/>
                <w:rtl w:val="0"/>
              </w:rPr>
              <w:t xml:space="preserve">Ordinal numbers are adjectives</w:t>
            </w:r>
            <w:r w:rsidDel="00000000" w:rsidR="00000000" w:rsidRPr="00000000">
              <w:rPr>
                <w:sz w:val="24"/>
                <w:szCs w:val="24"/>
                <w:rtl w:val="0"/>
              </w:rPr>
              <w:t xml:space="preserve"> and thus take normal adjectives endings. Just by looking at these, you can tell that most of them are hard stem adjectives (end in -ý), while </w:t>
            </w:r>
            <w:r w:rsidDel="00000000" w:rsidR="00000000" w:rsidRPr="00000000">
              <w:rPr>
                <w:i w:val="1"/>
                <w:iCs w:val="1"/>
                <w:sz w:val="24"/>
                <w:szCs w:val="24"/>
                <w:rtl w:val="0"/>
              </w:rPr>
              <w:t xml:space="preserve">první and třetí</w:t>
            </w:r>
            <w:r w:rsidDel="00000000" w:rsidR="00000000" w:rsidRPr="00000000">
              <w:rPr>
                <w:sz w:val="24"/>
                <w:szCs w:val="24"/>
                <w:rtl w:val="0"/>
              </w:rPr>
              <w:t xml:space="preserve"> are soft stem.</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první</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1st</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druhý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2nd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třetí</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3rd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čtvrtý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4th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pátý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5th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šestý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6th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sedmý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7th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osmý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8th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devátý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9th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desátý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10th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jedenáctý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11th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12th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třináctý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13th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čtrnáctý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14th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patnáctý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15th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šestnáctý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16th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sedmnáctý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17th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osmnáctý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18th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devatenáctý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19th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20th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první (jednadvacátý)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21st</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druhý (dvaadvacátý)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22nd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třetí (třiadvacátý)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23rd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čtvrtý (čtyřiadvacátý)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24th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pátý (pětadvacátý)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25th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šestý (šestadvacátý)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26th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sedmý (sedmadvacátý)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27th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osmý (osmadvacátý)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28th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dvacátý devátý (devětadvacátý)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29th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třicátý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30th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třicátý první (jednatřicátý)</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31st</w:t>
            </w:r>
          </w:p>
        </w:tc>
      </w:tr>
    </w:tbl>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before="0" w:line="240" w:lineRule="auto"/>
        <w:rPr>
          <w:sz w:val="24"/>
          <w:szCs w:val="24"/>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before="0" w:line="240" w:lineRule="auto"/>
        <w:rPr>
          <w:sz w:val="24"/>
          <w:szCs w:val="24"/>
        </w:rPr>
      </w:pPr>
      <w:r w:rsidDel="00000000" w:rsidR="00000000" w:rsidRPr="00000000">
        <w:rPr>
          <w:sz w:val="24"/>
          <w:szCs w:val="24"/>
          <w:rtl w:val="0"/>
        </w:rPr>
        <w:t xml:space="preserve">In Czech, these are either written out in full (první, druhý, etc.) or they are marked by putting a period after the number, so </w:t>
      </w:r>
      <w:r w:rsidDel="00000000" w:rsidR="00000000" w:rsidRPr="00000000">
        <w:rPr>
          <w:i w:val="1"/>
          <w:iCs w:val="1"/>
          <w:sz w:val="24"/>
          <w:szCs w:val="24"/>
          <w:rtl w:val="0"/>
        </w:rPr>
        <w:t xml:space="preserve">1. den = první den, 2. den = druhý den</w:t>
      </w:r>
      <w:r w:rsidDel="00000000" w:rsidR="00000000" w:rsidRPr="00000000">
        <w:rPr>
          <w:sz w:val="24"/>
          <w:szCs w:val="24"/>
          <w:rtl w:val="0"/>
        </w:rPr>
        <w:t xml:space="preserve">, etc.</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e/2PACX-1vQ1et_-3f5A8SNiSWnZB_esJEnqazE96B2_uy9wvwl_NZdGiwM7eCj4sk36aA4tbOOeq9U59y3yteLz/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