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ifn2luf5ku63" w:id="0"/>
      <w:bookmarkEnd w:id="0"/>
      <w:r w:rsidDel="00000000" w:rsidR="00000000" w:rsidRPr="00000000">
        <w:rPr>
          <w:rtl w:val="0"/>
        </w:rPr>
        <w:t xml:space="preserve">9 </w:t>
      </w:r>
      <w:r w:rsidDel="00000000" w:rsidR="00000000" w:rsidRPr="00000000">
        <w:rPr>
          <w:color w:val="cc2909"/>
          <w:rtl w:val="0"/>
        </w:rPr>
        <w:t xml:space="preserve">|</w:t>
      </w:r>
      <w:r w:rsidDel="00000000" w:rsidR="00000000" w:rsidRPr="00000000">
        <w:rPr>
          <w:rtl w:val="0"/>
        </w:rPr>
        <w:t xml:space="preserve"> 3 </w:t>
      </w:r>
      <w:r w:rsidDel="00000000" w:rsidR="00000000" w:rsidRPr="00000000">
        <w:rPr>
          <w:color w:val="cc2909"/>
          <w:rtl w:val="0"/>
        </w:rPr>
        <w:t xml:space="preserve">|</w:t>
      </w:r>
      <w:r w:rsidDel="00000000" w:rsidR="00000000" w:rsidRPr="00000000">
        <w:rPr>
          <w:rtl w:val="0"/>
        </w:rPr>
        <w:t xml:space="preserve"> Lekcija 2: Doktore, pomozite!</w:t>
      </w:r>
    </w:p>
    <w:p w:rsidR="00000000" w:rsidDel="00000000" w:rsidP="00000000" w:rsidRDefault="00000000" w:rsidRPr="00000000" w14:paraId="00000002">
      <w:pPr>
        <w:pStyle w:val="Heading1"/>
        <w:rPr/>
      </w:pPr>
      <w:bookmarkStart w:colFirst="0" w:colLast="0" w:name="_i09bk2poasok" w:id="1"/>
      <w:bookmarkEnd w:id="1"/>
      <w:r w:rsidDel="00000000" w:rsidR="00000000" w:rsidRPr="00000000">
        <w:rPr>
          <w:color w:val="cc2909"/>
          <w:rtl w:val="0"/>
        </w:rPr>
        <w:t xml:space="preserve">|</w:t>
      </w:r>
      <w:r w:rsidDel="00000000" w:rsidR="00000000" w:rsidRPr="00000000">
        <w:rPr>
          <w:rtl w:val="0"/>
        </w:rPr>
        <w:t xml:space="preserve"> The verb DISATI </w:t>
      </w:r>
    </w:p>
    <w:p w:rsidR="00000000" w:rsidDel="00000000" w:rsidP="00000000" w:rsidRDefault="00000000" w:rsidRPr="00000000" w14:paraId="00000003">
      <w:pPr>
        <w:rPr/>
      </w:pPr>
      <w:r w:rsidDel="00000000" w:rsidR="00000000" w:rsidRPr="00000000">
        <w:rPr>
          <w:rtl w:val="0"/>
        </w:rPr>
        <w:t xml:space="preserve">In the Present Tense, the verb </w:t>
      </w:r>
      <w:r w:rsidDel="00000000" w:rsidR="00000000" w:rsidRPr="00000000">
        <w:rPr>
          <w:i w:val="1"/>
          <w:iCs w:val="1"/>
          <w:rtl w:val="0"/>
        </w:rPr>
        <w:t xml:space="preserve">disati</w:t>
      </w:r>
      <w:r w:rsidDel="00000000" w:rsidR="00000000" w:rsidRPr="00000000">
        <w:rPr>
          <w:rtl w:val="0"/>
        </w:rPr>
        <w:t xml:space="preserve"> (to breathe) uses a different set of endings than what its infinitive form would suggest. Initially, one would think that this is a general –ati verb, just like </w:t>
      </w:r>
      <w:r w:rsidDel="00000000" w:rsidR="00000000" w:rsidRPr="00000000">
        <w:rPr>
          <w:i w:val="1"/>
          <w:iCs w:val="1"/>
          <w:rtl w:val="0"/>
        </w:rPr>
        <w:t xml:space="preserve">gledati</w:t>
      </w:r>
      <w:r w:rsidDel="00000000" w:rsidR="00000000" w:rsidRPr="00000000">
        <w:rPr>
          <w:rtl w:val="0"/>
        </w:rPr>
        <w:t xml:space="preserve"> (ja gledam), </w:t>
      </w:r>
      <w:r w:rsidDel="00000000" w:rsidR="00000000" w:rsidRPr="00000000">
        <w:rPr>
          <w:i w:val="1"/>
          <w:iCs w:val="1"/>
          <w:rtl w:val="0"/>
        </w:rPr>
        <w:t xml:space="preserve">slušati</w:t>
      </w:r>
      <w:r w:rsidDel="00000000" w:rsidR="00000000" w:rsidRPr="00000000">
        <w:rPr>
          <w:rtl w:val="0"/>
        </w:rPr>
        <w:t xml:space="preserve"> (ja slučam), </w:t>
      </w:r>
      <w:r w:rsidDel="00000000" w:rsidR="00000000" w:rsidRPr="00000000">
        <w:rPr>
          <w:i w:val="1"/>
          <w:iCs w:val="1"/>
          <w:rtl w:val="0"/>
        </w:rPr>
        <w:t xml:space="preserve">čitati</w:t>
      </w:r>
      <w:r w:rsidDel="00000000" w:rsidR="00000000" w:rsidRPr="00000000">
        <w:rPr>
          <w:rtl w:val="0"/>
        </w:rPr>
        <w:t xml:space="preserve"> (ja čitam), etc. That’s not the case. The verb </w:t>
      </w:r>
      <w:r w:rsidDel="00000000" w:rsidR="00000000" w:rsidRPr="00000000">
        <w:rPr>
          <w:i w:val="1"/>
          <w:iCs w:val="1"/>
          <w:rtl w:val="0"/>
        </w:rPr>
        <w:t xml:space="preserve">disati</w:t>
      </w:r>
      <w:r w:rsidDel="00000000" w:rsidR="00000000" w:rsidRPr="00000000">
        <w:rPr>
          <w:rtl w:val="0"/>
        </w:rPr>
        <w:t xml:space="preserve"> (to breathe) undergoes some changes and the following endings.</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185"/>
        <w:gridCol w:w="1455"/>
        <w:gridCol w:w="1320"/>
        <w:gridCol w:w="1395"/>
        <w:gridCol w:w="2445"/>
        <w:tblGridChange w:id="0">
          <w:tblGrid>
            <w:gridCol w:w="1560"/>
            <w:gridCol w:w="1185"/>
            <w:gridCol w:w="1455"/>
            <w:gridCol w:w="1320"/>
            <w:gridCol w:w="1395"/>
            <w:gridCol w:w="2445"/>
          </w:tblGrid>
        </w:tblGridChange>
      </w:tblGrid>
      <w:tr>
        <w:trPr>
          <w:cantSplit w:val="0"/>
          <w:trHeight w:val="440" w:hRule="atLeast"/>
          <w:tblHeader w:val="0"/>
        </w:trPr>
        <w:tc>
          <w:tcPr>
            <w:gridSpan w:val="3"/>
            <w:tcBorders>
              <w:top w:color="ffffff" w:space="0" w:sz="8" w:val="single"/>
              <w:left w:color="ffffff" w:space="0" w:sz="8" w:val="single"/>
              <w:bottom w:color="000000" w:space="0" w:sz="0" w:val="nil"/>
              <w:right w:color="ffffff" w:space="0" w:sz="8" w:val="single"/>
            </w:tcBorders>
            <w:shd w:fill="5d8eaf" w:val="clear"/>
            <w:tcMar>
              <w:top w:w="100.0" w:type="dxa"/>
              <w:left w:w="100.0" w:type="dxa"/>
              <w:bottom w:w="100.0" w:type="dxa"/>
              <w:right w:w="100.0" w:type="dxa"/>
            </w:tcMar>
            <w:vAlign w:val="top"/>
          </w:tcPr>
          <w:p w:rsidR="00000000" w:rsidDel="00000000" w:rsidP="00000000" w:rsidRDefault="00000000" w:rsidRPr="00000000" w14:paraId="00000004">
            <w:pPr>
              <w:spacing w:line="240" w:lineRule="auto"/>
              <w:rPr>
                <w:b w:val="1"/>
                <w:bCs w:val="1"/>
                <w:color w:val="ffffff"/>
              </w:rPr>
            </w:pPr>
            <w:r w:rsidDel="00000000" w:rsidR="00000000" w:rsidRPr="00000000">
              <w:rPr>
                <w:b w:val="1"/>
                <w:bCs w:val="1"/>
                <w:color w:val="ffffff"/>
                <w:rtl w:val="0"/>
              </w:rPr>
              <w:t xml:space="preserve">SINGULAR</w:t>
            </w:r>
          </w:p>
        </w:tc>
        <w:tc>
          <w:tcPr>
            <w:gridSpan w:val="3"/>
            <w:tcBorders>
              <w:top w:color="ffffff" w:space="0" w:sz="8" w:val="single"/>
              <w:left w:color="ffffff" w:space="0" w:sz="18" w:val="single"/>
              <w:bottom w:color="000000" w:space="0" w:sz="0" w:val="nil"/>
              <w:right w:color="ffffff" w:space="0" w:sz="8" w:val="single"/>
            </w:tcBorders>
            <w:shd w:fill="5d8eaf" w:val="clear"/>
            <w:tcMar>
              <w:top w:w="100.0" w:type="dxa"/>
              <w:left w:w="100.0" w:type="dxa"/>
              <w:bottom w:w="100.0" w:type="dxa"/>
              <w:right w:w="100.0" w:type="dxa"/>
            </w:tcMar>
            <w:vAlign w:val="top"/>
          </w:tcPr>
          <w:p w:rsidR="00000000" w:rsidDel="00000000" w:rsidP="00000000" w:rsidRDefault="00000000" w:rsidRPr="00000000" w14:paraId="00000007">
            <w:pPr>
              <w:spacing w:line="240" w:lineRule="auto"/>
              <w:rPr>
                <w:b w:val="1"/>
                <w:bCs w:val="1"/>
                <w:color w:val="ffffff"/>
              </w:rPr>
            </w:pPr>
            <w:r w:rsidDel="00000000" w:rsidR="00000000" w:rsidRPr="00000000">
              <w:rPr>
                <w:b w:val="1"/>
                <w:bCs w:val="1"/>
                <w:color w:val="ffffff"/>
                <w:rtl w:val="0"/>
              </w:rPr>
              <w:t xml:space="preserve">PLURAL</w:t>
            </w:r>
          </w:p>
        </w:tc>
      </w:tr>
      <w:tr>
        <w:trPr>
          <w:cantSplit w:val="0"/>
          <w:tblHeader w:val="0"/>
        </w:trPr>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0A">
            <w:pPr>
              <w:spacing w:line="240" w:lineRule="auto"/>
              <w:rPr/>
            </w:pPr>
            <w:hyperlink r:id="rId6">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0B">
            <w:pPr>
              <w:spacing w:line="240" w:lineRule="auto"/>
              <w:rPr/>
            </w:pPr>
            <w:r w:rsidDel="00000000" w:rsidR="00000000" w:rsidRPr="00000000">
              <w:rPr>
                <w:rtl w:val="0"/>
              </w:rPr>
              <w:t xml:space="preserve">ja </w:t>
            </w:r>
          </w:p>
        </w:tc>
        <w:tc>
          <w:tcPr>
            <w:tcBorders>
              <w:top w:color="000000" w:space="0" w:sz="0" w:val="nil"/>
              <w:left w:color="000000" w:space="0" w:sz="0" w:val="nil"/>
              <w:bottom w:color="000000" w:space="0" w:sz="4" w:val="single"/>
              <w:right w:color="000000" w:space="0" w:sz="4" w:val="dotted"/>
            </w:tcBorders>
            <w:tcMar>
              <w:top w:w="100.0" w:type="dxa"/>
              <w:left w:w="100.0" w:type="dxa"/>
              <w:bottom w:w="100.0" w:type="dxa"/>
              <w:right w:w="100.0" w:type="dxa"/>
            </w:tcMar>
            <w:vAlign w:val="center"/>
          </w:tcPr>
          <w:p w:rsidR="00000000" w:rsidDel="00000000" w:rsidP="00000000" w:rsidRDefault="00000000" w:rsidRPr="00000000" w14:paraId="0000000C">
            <w:pPr>
              <w:spacing w:line="240" w:lineRule="auto"/>
              <w:rPr/>
            </w:pPr>
            <w:r w:rsidDel="00000000" w:rsidR="00000000" w:rsidRPr="00000000">
              <w:rPr>
                <w:rtl w:val="0"/>
              </w:rPr>
              <w:t xml:space="preserve">di-š-em</w:t>
            </w:r>
          </w:p>
        </w:tc>
        <w:tc>
          <w:tcPr>
            <w:tcBorders>
              <w:top w:color="000000" w:space="0" w:sz="0" w:val="nil"/>
              <w:left w:color="000000" w:space="0" w:sz="4" w:val="dotted"/>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0D">
            <w:pPr>
              <w:spacing w:line="240" w:lineRule="auto"/>
              <w:rPr/>
            </w:pPr>
            <w:hyperlink r:id="rId7">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0E">
            <w:pPr>
              <w:spacing w:line="240" w:lineRule="auto"/>
              <w:rPr/>
            </w:pPr>
            <w:r w:rsidDel="00000000" w:rsidR="00000000" w:rsidRPr="00000000">
              <w:rPr>
                <w:rtl w:val="0"/>
              </w:rPr>
              <w:t xml:space="preserve">mi </w:t>
            </w:r>
          </w:p>
        </w:tc>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0F">
            <w:pPr>
              <w:spacing w:line="240" w:lineRule="auto"/>
              <w:rPr/>
            </w:pPr>
            <w:r w:rsidDel="00000000" w:rsidR="00000000" w:rsidRPr="00000000">
              <w:rPr>
                <w:rtl w:val="0"/>
              </w:rPr>
              <w:t xml:space="preserve">di-š-emo</w:t>
            </w:r>
          </w:p>
        </w:tc>
      </w:tr>
      <w:tr>
        <w:trPr>
          <w:cantSplit w:val="0"/>
          <w:tblHeader w:val="0"/>
        </w:trPr>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0">
            <w:pPr>
              <w:spacing w:line="240" w:lineRule="auto"/>
              <w:rPr/>
            </w:pPr>
            <w:hyperlink r:id="rId8">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1">
            <w:pPr>
              <w:spacing w:line="240" w:lineRule="auto"/>
              <w:rPr/>
            </w:pPr>
            <w:r w:rsidDel="00000000" w:rsidR="00000000" w:rsidRPr="00000000">
              <w:rPr>
                <w:rtl w:val="0"/>
              </w:rPr>
              <w:t xml:space="preserve">ti </w:t>
            </w:r>
          </w:p>
        </w:tc>
        <w:tc>
          <w:tcPr>
            <w:tcBorders>
              <w:top w:color="000000" w:space="0" w:sz="4" w:val="single"/>
              <w:left w:color="000000" w:space="0" w:sz="0" w:val="nil"/>
              <w:bottom w:color="000000" w:space="0" w:sz="4" w:val="single"/>
              <w:right w:color="000000" w:space="0" w:sz="4" w:val="dotted"/>
            </w:tcBorders>
            <w:tcMar>
              <w:top w:w="100.0" w:type="dxa"/>
              <w:left w:w="100.0" w:type="dxa"/>
              <w:bottom w:w="100.0" w:type="dxa"/>
              <w:right w:w="100.0" w:type="dxa"/>
            </w:tcMar>
            <w:vAlign w:val="center"/>
          </w:tcPr>
          <w:p w:rsidR="00000000" w:rsidDel="00000000" w:rsidP="00000000" w:rsidRDefault="00000000" w:rsidRPr="00000000" w14:paraId="00000012">
            <w:pPr>
              <w:spacing w:line="240" w:lineRule="auto"/>
              <w:rPr/>
            </w:pPr>
            <w:r w:rsidDel="00000000" w:rsidR="00000000" w:rsidRPr="00000000">
              <w:rPr>
                <w:rtl w:val="0"/>
              </w:rPr>
              <w:t xml:space="preserve">di-š-eš</w:t>
            </w:r>
          </w:p>
        </w:tc>
        <w:tc>
          <w:tcPr>
            <w:tcBorders>
              <w:top w:color="000000" w:space="0" w:sz="0" w:val="nil"/>
              <w:left w:color="000000" w:space="0" w:sz="4" w:val="dotted"/>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3">
            <w:pPr>
              <w:spacing w:line="240" w:lineRule="auto"/>
              <w:rPr/>
            </w:pPr>
            <w:hyperlink r:id="rId9">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4">
            <w:pPr>
              <w:spacing w:line="240" w:lineRule="auto"/>
              <w:rPr/>
            </w:pPr>
            <w:r w:rsidDel="00000000" w:rsidR="00000000" w:rsidRPr="00000000">
              <w:rPr>
                <w:rtl w:val="0"/>
              </w:rPr>
              <w:t xml:space="preserve">vi </w:t>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5">
            <w:pPr>
              <w:spacing w:line="240" w:lineRule="auto"/>
              <w:rPr/>
            </w:pPr>
            <w:r w:rsidDel="00000000" w:rsidR="00000000" w:rsidRPr="00000000">
              <w:rPr>
                <w:rtl w:val="0"/>
              </w:rPr>
              <w:t xml:space="preserve">di-š-ete</w:t>
            </w:r>
          </w:p>
        </w:tc>
      </w:tr>
      <w:tr>
        <w:trPr>
          <w:cantSplit w:val="0"/>
          <w:tblHeader w:val="0"/>
        </w:trPr>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6">
            <w:pPr>
              <w:spacing w:line="240" w:lineRule="auto"/>
              <w:rPr/>
            </w:pPr>
            <w:hyperlink r:id="rId10">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7">
            <w:pPr>
              <w:spacing w:line="240" w:lineRule="auto"/>
              <w:rPr/>
            </w:pPr>
            <w:r w:rsidDel="00000000" w:rsidR="00000000" w:rsidRPr="00000000">
              <w:rPr>
                <w:rtl w:val="0"/>
              </w:rPr>
              <w:t xml:space="preserve">on/-a/-o </w:t>
            </w:r>
          </w:p>
        </w:tc>
        <w:tc>
          <w:tcPr>
            <w:tcBorders>
              <w:top w:color="000000" w:space="0" w:sz="4" w:val="single"/>
              <w:left w:color="000000" w:space="0" w:sz="0" w:val="nil"/>
              <w:bottom w:color="000000" w:space="0" w:sz="4" w:val="single"/>
              <w:right w:color="000000" w:space="0" w:sz="4" w:val="dotted"/>
            </w:tcBorders>
            <w:tcMar>
              <w:top w:w="100.0" w:type="dxa"/>
              <w:left w:w="100.0" w:type="dxa"/>
              <w:bottom w:w="100.0" w:type="dxa"/>
              <w:right w:w="100.0" w:type="dxa"/>
            </w:tcMar>
            <w:vAlign w:val="center"/>
          </w:tcPr>
          <w:p w:rsidR="00000000" w:rsidDel="00000000" w:rsidP="00000000" w:rsidRDefault="00000000" w:rsidRPr="00000000" w14:paraId="00000018">
            <w:pPr>
              <w:spacing w:line="240" w:lineRule="auto"/>
              <w:rPr/>
            </w:pPr>
            <w:r w:rsidDel="00000000" w:rsidR="00000000" w:rsidRPr="00000000">
              <w:rPr>
                <w:rtl w:val="0"/>
              </w:rPr>
              <w:t xml:space="preserve">di-š-e</w:t>
            </w:r>
          </w:p>
        </w:tc>
        <w:tc>
          <w:tcPr>
            <w:tcBorders>
              <w:top w:color="000000" w:space="0" w:sz="0" w:val="nil"/>
              <w:left w:color="000000" w:space="0" w:sz="4" w:val="dotted"/>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9">
            <w:pPr>
              <w:spacing w:line="240" w:lineRule="auto"/>
              <w:rPr/>
            </w:pPr>
            <w:hyperlink r:id="rId11">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A">
            <w:pPr>
              <w:spacing w:line="240" w:lineRule="auto"/>
              <w:rPr/>
            </w:pPr>
            <w:r w:rsidDel="00000000" w:rsidR="00000000" w:rsidRPr="00000000">
              <w:rPr>
                <w:rtl w:val="0"/>
              </w:rPr>
              <w:t xml:space="preserve">oni/-e/-a </w:t>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B">
            <w:pPr>
              <w:spacing w:line="240" w:lineRule="auto"/>
              <w:rPr/>
            </w:pPr>
            <w:r w:rsidDel="00000000" w:rsidR="00000000" w:rsidRPr="00000000">
              <w:rPr>
                <w:rtl w:val="0"/>
              </w:rPr>
              <w:t xml:space="preserve">di-š-u</w:t>
            </w:r>
          </w:p>
        </w:tc>
      </w:tr>
    </w:tbl>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The reason for this irregularity within the –ati verbs is that the stem of the verb ends in –s– which means the verb has to take the endings –jem, –ješ, –je, etc. When the endings are combined with the stem, a certain sound change happens: s + j = š (dis+jem = disjem &gt; dišem).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This rule applies to all the verbs in which the stem ends in the letters –s– (s + j = š) or –z– (z + j = ž). For example: </w:t>
      </w:r>
      <w:r w:rsidDel="00000000" w:rsidR="00000000" w:rsidRPr="00000000">
        <w:rPr>
          <w:i w:val="1"/>
          <w:iCs w:val="1"/>
          <w:rtl w:val="0"/>
        </w:rPr>
        <w:t xml:space="preserve">plesati</w:t>
      </w:r>
      <w:r w:rsidDel="00000000" w:rsidR="00000000" w:rsidRPr="00000000">
        <w:rPr>
          <w:rtl w:val="0"/>
        </w:rPr>
        <w:t xml:space="preserve"> (to dance), </w:t>
      </w:r>
      <w:r w:rsidDel="00000000" w:rsidR="00000000" w:rsidRPr="00000000">
        <w:rPr>
          <w:i w:val="1"/>
          <w:iCs w:val="1"/>
          <w:rtl w:val="0"/>
        </w:rPr>
        <w:t xml:space="preserve">brisati</w:t>
      </w:r>
      <w:r w:rsidDel="00000000" w:rsidR="00000000" w:rsidRPr="00000000">
        <w:rPr>
          <w:rtl w:val="0"/>
        </w:rPr>
        <w:t xml:space="preserve"> (to wipe), </w:t>
      </w:r>
      <w:r w:rsidDel="00000000" w:rsidR="00000000" w:rsidRPr="00000000">
        <w:rPr>
          <w:i w:val="1"/>
          <w:iCs w:val="1"/>
          <w:rtl w:val="0"/>
        </w:rPr>
        <w:t xml:space="preserve">dizati</w:t>
      </w:r>
      <w:r w:rsidDel="00000000" w:rsidR="00000000" w:rsidRPr="00000000">
        <w:rPr>
          <w:rtl w:val="0"/>
        </w:rPr>
        <w:t xml:space="preserve"> (to lift). </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40"/>
        <w:gridCol w:w="7620"/>
        <w:tblGridChange w:id="0">
          <w:tblGrid>
            <w:gridCol w:w="1740"/>
            <w:gridCol w:w="7620"/>
          </w:tblGrid>
        </w:tblGridChange>
      </w:tblGrid>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20">
            <w:pPr>
              <w:spacing w:line="240" w:lineRule="auto"/>
              <w:jc w:val="center"/>
              <w:rPr/>
            </w:pPr>
            <w:r w:rsidDel="00000000" w:rsidR="00000000" w:rsidRPr="00000000">
              <w:rPr>
                <w:b w:val="1"/>
                <w:bCs w:val="1"/>
                <w:rtl w:val="0"/>
              </w:rPr>
              <w:t xml:space="preserve">plesati</w:t>
            </w:r>
            <w:r w:rsidDel="00000000" w:rsidR="00000000" w:rsidRPr="00000000">
              <w:rPr>
                <w:rtl w:val="0"/>
              </w:rPr>
              <w:t xml:space="preserve"> </w:t>
            </w:r>
          </w:p>
          <w:p w:rsidR="00000000" w:rsidDel="00000000" w:rsidP="00000000" w:rsidRDefault="00000000" w:rsidRPr="00000000" w14:paraId="00000021">
            <w:pPr>
              <w:spacing w:line="240" w:lineRule="auto"/>
              <w:jc w:val="center"/>
              <w:rPr/>
            </w:pPr>
            <w:r w:rsidDel="00000000" w:rsidR="00000000" w:rsidRPr="00000000">
              <w:rPr>
                <w:rtl w:val="0"/>
              </w:rPr>
              <w:t xml:space="preserve">to dance</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22">
            <w:pPr>
              <w:spacing w:line="240" w:lineRule="auto"/>
              <w:rPr/>
            </w:pPr>
            <w:r w:rsidDel="00000000" w:rsidR="00000000" w:rsidRPr="00000000">
              <w:rPr>
                <w:rtl w:val="0"/>
              </w:rPr>
              <w:t xml:space="preserve">ja plešem, ti plešeš, on/-a pleše, mi plešemo, vi plešete, oni/-e plešu</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23">
            <w:pPr>
              <w:spacing w:line="240" w:lineRule="auto"/>
              <w:jc w:val="center"/>
              <w:rPr/>
            </w:pPr>
            <w:r w:rsidDel="00000000" w:rsidR="00000000" w:rsidRPr="00000000">
              <w:rPr>
                <w:b w:val="1"/>
                <w:bCs w:val="1"/>
                <w:rtl w:val="0"/>
              </w:rPr>
              <w:t xml:space="preserve">brisati</w:t>
            </w:r>
            <w:r w:rsidDel="00000000" w:rsidR="00000000" w:rsidRPr="00000000">
              <w:rPr>
                <w:rtl w:val="0"/>
              </w:rPr>
              <w:t xml:space="preserve"> </w:t>
            </w:r>
          </w:p>
          <w:p w:rsidR="00000000" w:rsidDel="00000000" w:rsidP="00000000" w:rsidRDefault="00000000" w:rsidRPr="00000000" w14:paraId="00000024">
            <w:pPr>
              <w:spacing w:line="240" w:lineRule="auto"/>
              <w:jc w:val="center"/>
              <w:rPr/>
            </w:pPr>
            <w:r w:rsidDel="00000000" w:rsidR="00000000" w:rsidRPr="00000000">
              <w:rPr>
                <w:rtl w:val="0"/>
              </w:rPr>
              <w:t xml:space="preserve">to wipe</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25">
            <w:pPr>
              <w:spacing w:line="240" w:lineRule="auto"/>
              <w:rPr/>
            </w:pPr>
            <w:r w:rsidDel="00000000" w:rsidR="00000000" w:rsidRPr="00000000">
              <w:rPr>
                <w:rtl w:val="0"/>
              </w:rPr>
              <w:t xml:space="preserve">ja brišem, ti brišeš, on/-a briše, mi brišemo, vi brišete, oni/-e brišu</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26">
            <w:pPr>
              <w:spacing w:line="240" w:lineRule="auto"/>
              <w:jc w:val="center"/>
              <w:rPr/>
            </w:pPr>
            <w:r w:rsidDel="00000000" w:rsidR="00000000" w:rsidRPr="00000000">
              <w:rPr>
                <w:b w:val="1"/>
                <w:bCs w:val="1"/>
                <w:rtl w:val="0"/>
              </w:rPr>
              <w:t xml:space="preserve">dizati</w:t>
            </w:r>
            <w:r w:rsidDel="00000000" w:rsidR="00000000" w:rsidRPr="00000000">
              <w:rPr>
                <w:rtl w:val="0"/>
              </w:rPr>
              <w:t xml:space="preserve"> </w:t>
            </w:r>
          </w:p>
          <w:p w:rsidR="00000000" w:rsidDel="00000000" w:rsidP="00000000" w:rsidRDefault="00000000" w:rsidRPr="00000000" w14:paraId="00000027">
            <w:pPr>
              <w:spacing w:line="240" w:lineRule="auto"/>
              <w:jc w:val="center"/>
              <w:rPr/>
            </w:pPr>
            <w:r w:rsidDel="00000000" w:rsidR="00000000" w:rsidRPr="00000000">
              <w:rPr>
                <w:rtl w:val="0"/>
              </w:rPr>
              <w:t xml:space="preserve">to lift </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28">
            <w:pPr>
              <w:spacing w:line="240" w:lineRule="auto"/>
              <w:rPr/>
            </w:pPr>
            <w:r w:rsidDel="00000000" w:rsidR="00000000" w:rsidRPr="00000000">
              <w:rPr>
                <w:rtl w:val="0"/>
              </w:rPr>
              <w:t xml:space="preserve">ja dižem, ti dižeš, on/-a diže, mi dižemo, vi dižete, oni/-e dižu</w:t>
            </w:r>
          </w:p>
        </w:tc>
      </w:tr>
    </w:tbl>
    <w:p w:rsidR="00000000" w:rsidDel="00000000" w:rsidP="00000000" w:rsidRDefault="00000000" w:rsidRPr="00000000" w14:paraId="00000029">
      <w:pPr>
        <w:pStyle w:val="Heading1"/>
        <w:rPr/>
      </w:pPr>
      <w:bookmarkStart w:colFirst="0" w:colLast="0" w:name="_1bl028ji3z38" w:id="2"/>
      <w:bookmarkEnd w:id="2"/>
      <w:r w:rsidDel="00000000" w:rsidR="00000000" w:rsidRPr="00000000">
        <w:rPr>
          <w:color w:val="cc2909"/>
          <w:rtl w:val="0"/>
        </w:rPr>
        <w:t xml:space="preserve">|</w:t>
      </w:r>
      <w:r w:rsidDel="00000000" w:rsidR="00000000" w:rsidRPr="00000000">
        <w:rPr>
          <w:rtl w:val="0"/>
        </w:rPr>
        <w:t xml:space="preserve"> The verb KIHATI </w:t>
      </w:r>
    </w:p>
    <w:p w:rsidR="00000000" w:rsidDel="00000000" w:rsidP="00000000" w:rsidRDefault="00000000" w:rsidRPr="00000000" w14:paraId="0000002A">
      <w:pPr>
        <w:rPr/>
      </w:pPr>
      <w:r w:rsidDel="00000000" w:rsidR="00000000" w:rsidRPr="00000000">
        <w:rPr>
          <w:rtl w:val="0"/>
        </w:rPr>
        <w:t xml:space="preserve">In the present tense, just as with the verb </w:t>
      </w:r>
      <w:r w:rsidDel="00000000" w:rsidR="00000000" w:rsidRPr="00000000">
        <w:rPr>
          <w:i w:val="1"/>
          <w:iCs w:val="1"/>
          <w:rtl w:val="0"/>
        </w:rPr>
        <w:t xml:space="preserve">disati</w:t>
      </w:r>
      <w:r w:rsidDel="00000000" w:rsidR="00000000" w:rsidRPr="00000000">
        <w:rPr>
          <w:rtl w:val="0"/>
        </w:rPr>
        <w:t xml:space="preserve">, the verb </w:t>
      </w:r>
      <w:r w:rsidDel="00000000" w:rsidR="00000000" w:rsidRPr="00000000">
        <w:rPr>
          <w:i w:val="1"/>
          <w:iCs w:val="1"/>
          <w:rtl w:val="0"/>
        </w:rPr>
        <w:t xml:space="preserve">kihati</w:t>
      </w:r>
      <w:r w:rsidDel="00000000" w:rsidR="00000000" w:rsidRPr="00000000">
        <w:rPr>
          <w:rtl w:val="0"/>
        </w:rPr>
        <w:t xml:space="preserve"> (to sneeze) uses a different set of endings than what its infinitive form would suggest. Initially, one would think that this is also a general –ati verb, just like </w:t>
      </w:r>
      <w:r w:rsidDel="00000000" w:rsidR="00000000" w:rsidRPr="00000000">
        <w:rPr>
          <w:i w:val="1"/>
          <w:iCs w:val="1"/>
          <w:rtl w:val="0"/>
        </w:rPr>
        <w:t xml:space="preserve">gledati</w:t>
      </w:r>
      <w:r w:rsidDel="00000000" w:rsidR="00000000" w:rsidRPr="00000000">
        <w:rPr>
          <w:rtl w:val="0"/>
        </w:rPr>
        <w:t xml:space="preserve"> (ja gledam), </w:t>
      </w:r>
      <w:r w:rsidDel="00000000" w:rsidR="00000000" w:rsidRPr="00000000">
        <w:rPr>
          <w:i w:val="1"/>
          <w:iCs w:val="1"/>
          <w:rtl w:val="0"/>
        </w:rPr>
        <w:t xml:space="preserve">slušati</w:t>
      </w:r>
      <w:r w:rsidDel="00000000" w:rsidR="00000000" w:rsidRPr="00000000">
        <w:rPr>
          <w:rtl w:val="0"/>
        </w:rPr>
        <w:t xml:space="preserve"> (ja slučam), </w:t>
      </w:r>
      <w:r w:rsidDel="00000000" w:rsidR="00000000" w:rsidRPr="00000000">
        <w:rPr>
          <w:i w:val="1"/>
          <w:iCs w:val="1"/>
          <w:rtl w:val="0"/>
        </w:rPr>
        <w:t xml:space="preserve">čitati</w:t>
      </w:r>
      <w:r w:rsidDel="00000000" w:rsidR="00000000" w:rsidRPr="00000000">
        <w:rPr>
          <w:rtl w:val="0"/>
        </w:rPr>
        <w:t xml:space="preserve"> (ja čitam), etc. That’s not the case. The verb </w:t>
      </w:r>
      <w:r w:rsidDel="00000000" w:rsidR="00000000" w:rsidRPr="00000000">
        <w:rPr>
          <w:i w:val="1"/>
          <w:iCs w:val="1"/>
          <w:rtl w:val="0"/>
        </w:rPr>
        <w:t xml:space="preserve">kihati</w:t>
      </w:r>
      <w:r w:rsidDel="00000000" w:rsidR="00000000" w:rsidRPr="00000000">
        <w:rPr>
          <w:rtl w:val="0"/>
        </w:rPr>
        <w:t xml:space="preserve"> (to breathe) undergoes the same changes as the verb </w:t>
      </w:r>
      <w:r w:rsidDel="00000000" w:rsidR="00000000" w:rsidRPr="00000000">
        <w:rPr>
          <w:i w:val="1"/>
          <w:iCs w:val="1"/>
          <w:rtl w:val="0"/>
        </w:rPr>
        <w:t xml:space="preserve">disati</w:t>
      </w:r>
      <w:r w:rsidDel="00000000" w:rsidR="00000000" w:rsidRPr="00000000">
        <w:rPr>
          <w:rtl w:val="0"/>
        </w:rPr>
        <w:t xml:space="preserve"> and has the following endings.</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185"/>
        <w:gridCol w:w="1455"/>
        <w:gridCol w:w="1320"/>
        <w:gridCol w:w="1395"/>
        <w:gridCol w:w="2445"/>
        <w:tblGridChange w:id="0">
          <w:tblGrid>
            <w:gridCol w:w="1560"/>
            <w:gridCol w:w="1185"/>
            <w:gridCol w:w="1455"/>
            <w:gridCol w:w="1320"/>
            <w:gridCol w:w="1395"/>
            <w:gridCol w:w="2445"/>
          </w:tblGrid>
        </w:tblGridChange>
      </w:tblGrid>
      <w:tr>
        <w:trPr>
          <w:cantSplit w:val="0"/>
          <w:trHeight w:val="440" w:hRule="atLeast"/>
          <w:tblHeader w:val="0"/>
        </w:trPr>
        <w:tc>
          <w:tcPr>
            <w:gridSpan w:val="3"/>
            <w:tcBorders>
              <w:top w:color="ffffff" w:space="0" w:sz="8" w:val="single"/>
              <w:left w:color="ffffff" w:space="0" w:sz="8" w:val="single"/>
              <w:bottom w:color="000000" w:space="0" w:sz="0" w:val="nil"/>
              <w:right w:color="ffffff" w:space="0" w:sz="8" w:val="single"/>
            </w:tcBorders>
            <w:shd w:fill="5d8eaf" w:val="clear"/>
            <w:tcMar>
              <w:top w:w="100.0" w:type="dxa"/>
              <w:left w:w="100.0" w:type="dxa"/>
              <w:bottom w:w="100.0" w:type="dxa"/>
              <w:right w:w="100.0" w:type="dxa"/>
            </w:tcMar>
            <w:vAlign w:val="top"/>
          </w:tcPr>
          <w:p w:rsidR="00000000" w:rsidDel="00000000" w:rsidP="00000000" w:rsidRDefault="00000000" w:rsidRPr="00000000" w14:paraId="0000002B">
            <w:pPr>
              <w:spacing w:line="240" w:lineRule="auto"/>
              <w:rPr>
                <w:b w:val="1"/>
                <w:bCs w:val="1"/>
                <w:color w:val="ffffff"/>
              </w:rPr>
            </w:pPr>
            <w:r w:rsidDel="00000000" w:rsidR="00000000" w:rsidRPr="00000000">
              <w:rPr>
                <w:b w:val="1"/>
                <w:bCs w:val="1"/>
                <w:color w:val="ffffff"/>
                <w:rtl w:val="0"/>
              </w:rPr>
              <w:t xml:space="preserve">SINGULAR</w:t>
            </w:r>
          </w:p>
        </w:tc>
        <w:tc>
          <w:tcPr>
            <w:gridSpan w:val="3"/>
            <w:tcBorders>
              <w:top w:color="ffffff" w:space="0" w:sz="8" w:val="single"/>
              <w:left w:color="ffffff" w:space="0" w:sz="18" w:val="single"/>
              <w:bottom w:color="000000" w:space="0" w:sz="0" w:val="nil"/>
              <w:right w:color="ffffff" w:space="0" w:sz="8" w:val="single"/>
            </w:tcBorders>
            <w:shd w:fill="5d8eaf" w:val="clear"/>
            <w:tcMar>
              <w:top w:w="100.0" w:type="dxa"/>
              <w:left w:w="100.0" w:type="dxa"/>
              <w:bottom w:w="100.0" w:type="dxa"/>
              <w:right w:w="100.0" w:type="dxa"/>
            </w:tcMar>
            <w:vAlign w:val="top"/>
          </w:tcPr>
          <w:p w:rsidR="00000000" w:rsidDel="00000000" w:rsidP="00000000" w:rsidRDefault="00000000" w:rsidRPr="00000000" w14:paraId="0000002E">
            <w:pPr>
              <w:spacing w:line="240" w:lineRule="auto"/>
              <w:rPr>
                <w:b w:val="1"/>
                <w:bCs w:val="1"/>
                <w:color w:val="ffffff"/>
              </w:rPr>
            </w:pPr>
            <w:r w:rsidDel="00000000" w:rsidR="00000000" w:rsidRPr="00000000">
              <w:rPr>
                <w:b w:val="1"/>
                <w:bCs w:val="1"/>
                <w:color w:val="ffffff"/>
                <w:rtl w:val="0"/>
              </w:rPr>
              <w:t xml:space="preserve">PLURAL</w:t>
            </w:r>
          </w:p>
        </w:tc>
      </w:tr>
      <w:tr>
        <w:trPr>
          <w:cantSplit w:val="0"/>
          <w:tblHeader w:val="0"/>
        </w:trPr>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1">
            <w:pPr>
              <w:spacing w:line="240" w:lineRule="auto"/>
              <w:rPr/>
            </w:pPr>
            <w:hyperlink r:id="rId12">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2">
            <w:pPr>
              <w:spacing w:line="240" w:lineRule="auto"/>
              <w:rPr/>
            </w:pPr>
            <w:r w:rsidDel="00000000" w:rsidR="00000000" w:rsidRPr="00000000">
              <w:rPr>
                <w:rtl w:val="0"/>
              </w:rPr>
              <w:t xml:space="preserve">ja </w:t>
            </w:r>
          </w:p>
        </w:tc>
        <w:tc>
          <w:tcPr>
            <w:tcBorders>
              <w:top w:color="000000" w:space="0" w:sz="0" w:val="nil"/>
              <w:left w:color="000000" w:space="0" w:sz="0" w:val="nil"/>
              <w:bottom w:color="000000" w:space="0" w:sz="4" w:val="single"/>
              <w:right w:color="000000" w:space="0" w:sz="4" w:val="dotted"/>
            </w:tcBorders>
            <w:tcMar>
              <w:top w:w="100.0" w:type="dxa"/>
              <w:left w:w="100.0" w:type="dxa"/>
              <w:bottom w:w="100.0" w:type="dxa"/>
              <w:right w:w="100.0" w:type="dxa"/>
            </w:tcMar>
            <w:vAlign w:val="center"/>
          </w:tcPr>
          <w:p w:rsidR="00000000" w:rsidDel="00000000" w:rsidP="00000000" w:rsidRDefault="00000000" w:rsidRPr="00000000" w14:paraId="00000033">
            <w:pPr>
              <w:spacing w:line="240" w:lineRule="auto"/>
              <w:rPr/>
            </w:pPr>
            <w:r w:rsidDel="00000000" w:rsidR="00000000" w:rsidRPr="00000000">
              <w:rPr>
                <w:rtl w:val="0"/>
              </w:rPr>
              <w:t xml:space="preserve">ki-š-em</w:t>
            </w:r>
          </w:p>
        </w:tc>
        <w:tc>
          <w:tcPr>
            <w:tcBorders>
              <w:top w:color="000000" w:space="0" w:sz="0" w:val="nil"/>
              <w:left w:color="000000" w:space="0" w:sz="4" w:val="dotted"/>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4">
            <w:pPr>
              <w:spacing w:line="240" w:lineRule="auto"/>
              <w:rPr/>
            </w:pPr>
            <w:hyperlink r:id="rId13">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5">
            <w:pPr>
              <w:spacing w:line="240" w:lineRule="auto"/>
              <w:rPr/>
            </w:pPr>
            <w:r w:rsidDel="00000000" w:rsidR="00000000" w:rsidRPr="00000000">
              <w:rPr>
                <w:rtl w:val="0"/>
              </w:rPr>
              <w:t xml:space="preserve">mi </w:t>
            </w:r>
          </w:p>
        </w:tc>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6">
            <w:pPr>
              <w:spacing w:line="240" w:lineRule="auto"/>
              <w:rPr/>
            </w:pPr>
            <w:r w:rsidDel="00000000" w:rsidR="00000000" w:rsidRPr="00000000">
              <w:rPr>
                <w:rtl w:val="0"/>
              </w:rPr>
              <w:t xml:space="preserve">ki-š-emo</w:t>
            </w:r>
          </w:p>
        </w:tc>
      </w:tr>
      <w:tr>
        <w:trPr>
          <w:cantSplit w:val="0"/>
          <w:tblHeader w:val="0"/>
        </w:trPr>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7">
            <w:pPr>
              <w:spacing w:line="240" w:lineRule="auto"/>
              <w:rPr/>
            </w:pPr>
            <w:hyperlink r:id="rId14">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8">
            <w:pPr>
              <w:spacing w:line="240" w:lineRule="auto"/>
              <w:rPr/>
            </w:pPr>
            <w:r w:rsidDel="00000000" w:rsidR="00000000" w:rsidRPr="00000000">
              <w:rPr>
                <w:rtl w:val="0"/>
              </w:rPr>
              <w:t xml:space="preserve">ti </w:t>
            </w:r>
          </w:p>
        </w:tc>
        <w:tc>
          <w:tcPr>
            <w:tcBorders>
              <w:top w:color="000000" w:space="0" w:sz="4" w:val="single"/>
              <w:left w:color="000000" w:space="0" w:sz="0" w:val="nil"/>
              <w:bottom w:color="000000" w:space="0" w:sz="4" w:val="single"/>
              <w:right w:color="000000" w:space="0" w:sz="4" w:val="dotted"/>
            </w:tcBorders>
            <w:tcMar>
              <w:top w:w="100.0" w:type="dxa"/>
              <w:left w:w="100.0" w:type="dxa"/>
              <w:bottom w:w="100.0" w:type="dxa"/>
              <w:right w:w="100.0" w:type="dxa"/>
            </w:tcMar>
            <w:vAlign w:val="center"/>
          </w:tcPr>
          <w:p w:rsidR="00000000" w:rsidDel="00000000" w:rsidP="00000000" w:rsidRDefault="00000000" w:rsidRPr="00000000" w14:paraId="00000039">
            <w:pPr>
              <w:spacing w:line="240" w:lineRule="auto"/>
              <w:rPr/>
            </w:pPr>
            <w:r w:rsidDel="00000000" w:rsidR="00000000" w:rsidRPr="00000000">
              <w:rPr>
                <w:rtl w:val="0"/>
              </w:rPr>
              <w:t xml:space="preserve">ki-š-eš</w:t>
            </w:r>
          </w:p>
        </w:tc>
        <w:tc>
          <w:tcPr>
            <w:tcBorders>
              <w:top w:color="000000" w:space="0" w:sz="0" w:val="nil"/>
              <w:left w:color="000000" w:space="0" w:sz="4" w:val="dotted"/>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A">
            <w:pPr>
              <w:spacing w:line="240" w:lineRule="auto"/>
              <w:rPr/>
            </w:pPr>
            <w:hyperlink r:id="rId15">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B">
            <w:pPr>
              <w:spacing w:line="240" w:lineRule="auto"/>
              <w:rPr/>
            </w:pPr>
            <w:r w:rsidDel="00000000" w:rsidR="00000000" w:rsidRPr="00000000">
              <w:rPr>
                <w:rtl w:val="0"/>
              </w:rPr>
              <w:t xml:space="preserve">vi </w:t>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C">
            <w:pPr>
              <w:spacing w:line="240" w:lineRule="auto"/>
              <w:rPr/>
            </w:pPr>
            <w:r w:rsidDel="00000000" w:rsidR="00000000" w:rsidRPr="00000000">
              <w:rPr>
                <w:rtl w:val="0"/>
              </w:rPr>
              <w:t xml:space="preserve">ki-š-ete</w:t>
            </w:r>
          </w:p>
        </w:tc>
      </w:tr>
      <w:tr>
        <w:trPr>
          <w:cantSplit w:val="0"/>
          <w:tblHeader w:val="0"/>
        </w:trPr>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D">
            <w:pPr>
              <w:spacing w:line="240" w:lineRule="auto"/>
              <w:rPr/>
            </w:pPr>
            <w:hyperlink r:id="rId16">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E">
            <w:pPr>
              <w:spacing w:line="240" w:lineRule="auto"/>
              <w:rPr/>
            </w:pPr>
            <w:r w:rsidDel="00000000" w:rsidR="00000000" w:rsidRPr="00000000">
              <w:rPr>
                <w:rtl w:val="0"/>
              </w:rPr>
              <w:t xml:space="preserve">on/-a/-o </w:t>
            </w:r>
          </w:p>
        </w:tc>
        <w:tc>
          <w:tcPr>
            <w:tcBorders>
              <w:top w:color="000000" w:space="0" w:sz="4" w:val="single"/>
              <w:left w:color="000000" w:space="0" w:sz="0" w:val="nil"/>
              <w:bottom w:color="000000" w:space="0" w:sz="4" w:val="single"/>
              <w:right w:color="000000" w:space="0" w:sz="4" w:val="dotted"/>
            </w:tcBorders>
            <w:tcMar>
              <w:top w:w="100.0" w:type="dxa"/>
              <w:left w:w="100.0" w:type="dxa"/>
              <w:bottom w:w="100.0" w:type="dxa"/>
              <w:right w:w="100.0" w:type="dxa"/>
            </w:tcMar>
            <w:vAlign w:val="center"/>
          </w:tcPr>
          <w:p w:rsidR="00000000" w:rsidDel="00000000" w:rsidP="00000000" w:rsidRDefault="00000000" w:rsidRPr="00000000" w14:paraId="0000003F">
            <w:pPr>
              <w:spacing w:line="240" w:lineRule="auto"/>
              <w:rPr/>
            </w:pPr>
            <w:r w:rsidDel="00000000" w:rsidR="00000000" w:rsidRPr="00000000">
              <w:rPr>
                <w:rtl w:val="0"/>
              </w:rPr>
              <w:t xml:space="preserve">ki-š-e</w:t>
            </w:r>
          </w:p>
        </w:tc>
        <w:tc>
          <w:tcPr>
            <w:tcBorders>
              <w:top w:color="000000" w:space="0" w:sz="0" w:val="nil"/>
              <w:left w:color="000000" w:space="0" w:sz="4" w:val="dotted"/>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0">
            <w:pPr>
              <w:spacing w:line="240" w:lineRule="auto"/>
              <w:rPr/>
            </w:pPr>
            <w:hyperlink r:id="rId17">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1">
            <w:pPr>
              <w:spacing w:line="240" w:lineRule="auto"/>
              <w:rPr/>
            </w:pPr>
            <w:r w:rsidDel="00000000" w:rsidR="00000000" w:rsidRPr="00000000">
              <w:rPr>
                <w:rtl w:val="0"/>
              </w:rPr>
              <w:t xml:space="preserve">oni/-e/-a </w:t>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2">
            <w:pPr>
              <w:spacing w:line="240" w:lineRule="auto"/>
              <w:rPr/>
            </w:pPr>
            <w:r w:rsidDel="00000000" w:rsidR="00000000" w:rsidRPr="00000000">
              <w:rPr>
                <w:rtl w:val="0"/>
              </w:rPr>
              <w:t xml:space="preserve">ki-š-u</w:t>
            </w:r>
          </w:p>
        </w:tc>
      </w:tr>
    </w:tbl>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The reason for this irregularity within the –ati verbs is that the stem of the verb </w:t>
      </w:r>
      <w:r w:rsidDel="00000000" w:rsidR="00000000" w:rsidRPr="00000000">
        <w:rPr>
          <w:i w:val="1"/>
          <w:iCs w:val="1"/>
          <w:rtl w:val="0"/>
        </w:rPr>
        <w:t xml:space="preserve">kihati</w:t>
      </w:r>
      <w:r w:rsidDel="00000000" w:rsidR="00000000" w:rsidRPr="00000000">
        <w:rPr>
          <w:rtl w:val="0"/>
        </w:rPr>
        <w:t xml:space="preserve"> ends in –h– which means the verb has to take the endings –jem, –ješ, –je, etc. When the endings are combined with the stem, a certain sound change happens: h + j = š (kih+jem = kihjem &gt; kišem).</w:t>
      </w:r>
    </w:p>
    <w:p w:rsidR="00000000" w:rsidDel="00000000" w:rsidP="00000000" w:rsidRDefault="00000000" w:rsidRPr="00000000" w14:paraId="00000045">
      <w:pPr>
        <w:pStyle w:val="Heading1"/>
        <w:rPr/>
      </w:pPr>
      <w:bookmarkStart w:colFirst="0" w:colLast="0" w:name="_diepg64tqdu3" w:id="3"/>
      <w:bookmarkEnd w:id="3"/>
      <w:r w:rsidDel="00000000" w:rsidR="00000000" w:rsidRPr="00000000">
        <w:rPr>
          <w:color w:val="cc2909"/>
          <w:rtl w:val="0"/>
        </w:rPr>
        <w:t xml:space="preserve">|</w:t>
      </w:r>
      <w:r w:rsidDel="00000000" w:rsidR="00000000" w:rsidRPr="00000000">
        <w:rPr>
          <w:rtl w:val="0"/>
        </w:rPr>
        <w:t xml:space="preserve"> The verb KAŠLJATI</w:t>
      </w:r>
    </w:p>
    <w:p w:rsidR="00000000" w:rsidDel="00000000" w:rsidP="00000000" w:rsidRDefault="00000000" w:rsidRPr="00000000" w14:paraId="00000046">
      <w:pPr>
        <w:rPr/>
      </w:pPr>
      <w:r w:rsidDel="00000000" w:rsidR="00000000" w:rsidRPr="00000000">
        <w:rPr>
          <w:rtl w:val="0"/>
        </w:rPr>
        <w:t xml:space="preserve">The third example of irregular –ati verbs from today’s lesson is the case of the verb </w:t>
      </w:r>
      <w:r w:rsidDel="00000000" w:rsidR="00000000" w:rsidRPr="00000000">
        <w:rPr>
          <w:i w:val="1"/>
          <w:iCs w:val="1"/>
          <w:rtl w:val="0"/>
        </w:rPr>
        <w:t xml:space="preserve">kašljati</w:t>
      </w:r>
      <w:r w:rsidDel="00000000" w:rsidR="00000000" w:rsidRPr="00000000">
        <w:rPr>
          <w:rtl w:val="0"/>
        </w:rPr>
        <w:t xml:space="preserve"> (to cough). The stem of this verb ends in the letter –lj– (kašlj–ati) which is one of the palatal consonants (or as I like to call them, “Croatian letters”) – č, ć, dž, đ, j, lj, nj, š, ž. When the stem of the –ati verb ends in a palatal consonant, the verb will take the endings: –em, –eš, –e, etc. </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185"/>
        <w:gridCol w:w="1455"/>
        <w:gridCol w:w="1320"/>
        <w:gridCol w:w="1395"/>
        <w:gridCol w:w="2445"/>
        <w:tblGridChange w:id="0">
          <w:tblGrid>
            <w:gridCol w:w="1560"/>
            <w:gridCol w:w="1185"/>
            <w:gridCol w:w="1455"/>
            <w:gridCol w:w="1320"/>
            <w:gridCol w:w="1395"/>
            <w:gridCol w:w="2445"/>
          </w:tblGrid>
        </w:tblGridChange>
      </w:tblGrid>
      <w:tr>
        <w:trPr>
          <w:cantSplit w:val="0"/>
          <w:trHeight w:val="440" w:hRule="atLeast"/>
          <w:tblHeader w:val="0"/>
        </w:trPr>
        <w:tc>
          <w:tcPr>
            <w:gridSpan w:val="3"/>
            <w:tcBorders>
              <w:top w:color="ffffff" w:space="0" w:sz="8" w:val="single"/>
              <w:left w:color="ffffff" w:space="0" w:sz="8" w:val="single"/>
              <w:bottom w:color="000000" w:space="0" w:sz="0" w:val="nil"/>
              <w:right w:color="ffffff" w:space="0" w:sz="8" w:val="single"/>
            </w:tcBorders>
            <w:shd w:fill="5d8eaf" w:val="clear"/>
            <w:tcMar>
              <w:top w:w="100.0" w:type="dxa"/>
              <w:left w:w="100.0" w:type="dxa"/>
              <w:bottom w:w="100.0" w:type="dxa"/>
              <w:right w:w="100.0" w:type="dxa"/>
            </w:tcMar>
            <w:vAlign w:val="top"/>
          </w:tcPr>
          <w:p w:rsidR="00000000" w:rsidDel="00000000" w:rsidP="00000000" w:rsidRDefault="00000000" w:rsidRPr="00000000" w14:paraId="00000047">
            <w:pPr>
              <w:spacing w:line="240" w:lineRule="auto"/>
              <w:rPr>
                <w:b w:val="1"/>
                <w:bCs w:val="1"/>
                <w:color w:val="ffffff"/>
              </w:rPr>
            </w:pPr>
            <w:r w:rsidDel="00000000" w:rsidR="00000000" w:rsidRPr="00000000">
              <w:rPr>
                <w:b w:val="1"/>
                <w:bCs w:val="1"/>
                <w:color w:val="ffffff"/>
                <w:rtl w:val="0"/>
              </w:rPr>
              <w:t xml:space="preserve">SINGULAR</w:t>
            </w:r>
          </w:p>
        </w:tc>
        <w:tc>
          <w:tcPr>
            <w:gridSpan w:val="3"/>
            <w:tcBorders>
              <w:top w:color="ffffff" w:space="0" w:sz="8" w:val="single"/>
              <w:left w:color="ffffff" w:space="0" w:sz="18" w:val="single"/>
              <w:bottom w:color="000000" w:space="0" w:sz="0" w:val="nil"/>
              <w:right w:color="ffffff" w:space="0" w:sz="8" w:val="single"/>
            </w:tcBorders>
            <w:shd w:fill="5d8eaf" w:val="clear"/>
            <w:tcMar>
              <w:top w:w="100.0" w:type="dxa"/>
              <w:left w:w="100.0" w:type="dxa"/>
              <w:bottom w:w="100.0" w:type="dxa"/>
              <w:right w:w="100.0" w:type="dxa"/>
            </w:tcMar>
            <w:vAlign w:val="top"/>
          </w:tcPr>
          <w:p w:rsidR="00000000" w:rsidDel="00000000" w:rsidP="00000000" w:rsidRDefault="00000000" w:rsidRPr="00000000" w14:paraId="0000004A">
            <w:pPr>
              <w:spacing w:line="240" w:lineRule="auto"/>
              <w:rPr>
                <w:b w:val="1"/>
                <w:bCs w:val="1"/>
                <w:color w:val="ffffff"/>
              </w:rPr>
            </w:pPr>
            <w:r w:rsidDel="00000000" w:rsidR="00000000" w:rsidRPr="00000000">
              <w:rPr>
                <w:b w:val="1"/>
                <w:bCs w:val="1"/>
                <w:color w:val="ffffff"/>
                <w:rtl w:val="0"/>
              </w:rPr>
              <w:t xml:space="preserve">PLURAL</w:t>
            </w:r>
          </w:p>
        </w:tc>
      </w:tr>
      <w:tr>
        <w:trPr>
          <w:cantSplit w:val="0"/>
          <w:tblHeader w:val="0"/>
        </w:trPr>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D">
            <w:pPr>
              <w:spacing w:line="240" w:lineRule="auto"/>
              <w:rPr/>
            </w:pPr>
            <w:hyperlink r:id="rId18">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E">
            <w:pPr>
              <w:spacing w:line="240" w:lineRule="auto"/>
              <w:rPr/>
            </w:pPr>
            <w:r w:rsidDel="00000000" w:rsidR="00000000" w:rsidRPr="00000000">
              <w:rPr>
                <w:rtl w:val="0"/>
              </w:rPr>
              <w:t xml:space="preserve">ja </w:t>
            </w:r>
          </w:p>
        </w:tc>
        <w:tc>
          <w:tcPr>
            <w:tcBorders>
              <w:top w:color="000000" w:space="0" w:sz="0" w:val="nil"/>
              <w:left w:color="000000" w:space="0" w:sz="0" w:val="nil"/>
              <w:bottom w:color="000000" w:space="0" w:sz="4" w:val="single"/>
              <w:right w:color="000000" w:space="0" w:sz="4" w:val="dotted"/>
            </w:tcBorders>
            <w:tcMar>
              <w:top w:w="100.0" w:type="dxa"/>
              <w:left w:w="100.0" w:type="dxa"/>
              <w:bottom w:w="100.0" w:type="dxa"/>
              <w:right w:w="100.0" w:type="dxa"/>
            </w:tcMar>
            <w:vAlign w:val="center"/>
          </w:tcPr>
          <w:p w:rsidR="00000000" w:rsidDel="00000000" w:rsidP="00000000" w:rsidRDefault="00000000" w:rsidRPr="00000000" w14:paraId="0000004F">
            <w:pPr>
              <w:spacing w:line="240" w:lineRule="auto"/>
              <w:rPr/>
            </w:pPr>
            <w:r w:rsidDel="00000000" w:rsidR="00000000" w:rsidRPr="00000000">
              <w:rPr>
                <w:rtl w:val="0"/>
              </w:rPr>
              <w:t xml:space="preserve">kašlj-em</w:t>
            </w:r>
          </w:p>
        </w:tc>
        <w:tc>
          <w:tcPr>
            <w:tcBorders>
              <w:top w:color="000000" w:space="0" w:sz="0" w:val="nil"/>
              <w:left w:color="000000" w:space="0" w:sz="4" w:val="dotted"/>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0">
            <w:pPr>
              <w:spacing w:line="240" w:lineRule="auto"/>
              <w:rPr/>
            </w:pPr>
            <w:hyperlink r:id="rId19">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1">
            <w:pPr>
              <w:spacing w:line="240" w:lineRule="auto"/>
              <w:rPr/>
            </w:pPr>
            <w:r w:rsidDel="00000000" w:rsidR="00000000" w:rsidRPr="00000000">
              <w:rPr>
                <w:rtl w:val="0"/>
              </w:rPr>
              <w:t xml:space="preserve">mi </w:t>
            </w:r>
          </w:p>
        </w:tc>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2">
            <w:pPr>
              <w:spacing w:line="240" w:lineRule="auto"/>
              <w:rPr/>
            </w:pPr>
            <w:r w:rsidDel="00000000" w:rsidR="00000000" w:rsidRPr="00000000">
              <w:rPr>
                <w:rtl w:val="0"/>
              </w:rPr>
              <w:t xml:space="preserve">kašlj-emo</w:t>
            </w:r>
          </w:p>
        </w:tc>
      </w:tr>
      <w:tr>
        <w:trPr>
          <w:cantSplit w:val="0"/>
          <w:tblHeader w:val="0"/>
        </w:trPr>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3">
            <w:pPr>
              <w:spacing w:line="240" w:lineRule="auto"/>
              <w:rPr/>
            </w:pPr>
            <w:hyperlink r:id="rId20">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4">
            <w:pPr>
              <w:spacing w:line="240" w:lineRule="auto"/>
              <w:rPr/>
            </w:pPr>
            <w:r w:rsidDel="00000000" w:rsidR="00000000" w:rsidRPr="00000000">
              <w:rPr>
                <w:rtl w:val="0"/>
              </w:rPr>
              <w:t xml:space="preserve">ti </w:t>
            </w:r>
          </w:p>
        </w:tc>
        <w:tc>
          <w:tcPr>
            <w:tcBorders>
              <w:top w:color="000000" w:space="0" w:sz="4" w:val="single"/>
              <w:left w:color="000000" w:space="0" w:sz="0" w:val="nil"/>
              <w:bottom w:color="000000" w:space="0" w:sz="4" w:val="single"/>
              <w:right w:color="000000" w:space="0" w:sz="4" w:val="dotted"/>
            </w:tcBorders>
            <w:tcMar>
              <w:top w:w="100.0" w:type="dxa"/>
              <w:left w:w="100.0" w:type="dxa"/>
              <w:bottom w:w="100.0" w:type="dxa"/>
              <w:right w:w="100.0" w:type="dxa"/>
            </w:tcMar>
            <w:vAlign w:val="center"/>
          </w:tcPr>
          <w:p w:rsidR="00000000" w:rsidDel="00000000" w:rsidP="00000000" w:rsidRDefault="00000000" w:rsidRPr="00000000" w14:paraId="00000055">
            <w:pPr>
              <w:spacing w:line="240" w:lineRule="auto"/>
              <w:rPr/>
            </w:pPr>
            <w:r w:rsidDel="00000000" w:rsidR="00000000" w:rsidRPr="00000000">
              <w:rPr>
                <w:rtl w:val="0"/>
              </w:rPr>
              <w:t xml:space="preserve">kašlj-eš</w:t>
            </w:r>
          </w:p>
        </w:tc>
        <w:tc>
          <w:tcPr>
            <w:tcBorders>
              <w:top w:color="000000" w:space="0" w:sz="0" w:val="nil"/>
              <w:left w:color="000000" w:space="0" w:sz="4" w:val="dotted"/>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6">
            <w:pPr>
              <w:spacing w:line="240" w:lineRule="auto"/>
              <w:rPr/>
            </w:pPr>
            <w:hyperlink r:id="rId21">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7">
            <w:pPr>
              <w:spacing w:line="240" w:lineRule="auto"/>
              <w:rPr/>
            </w:pPr>
            <w:r w:rsidDel="00000000" w:rsidR="00000000" w:rsidRPr="00000000">
              <w:rPr>
                <w:rtl w:val="0"/>
              </w:rPr>
              <w:t xml:space="preserve">vi </w:t>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8">
            <w:pPr>
              <w:spacing w:line="240" w:lineRule="auto"/>
              <w:rPr/>
            </w:pPr>
            <w:r w:rsidDel="00000000" w:rsidR="00000000" w:rsidRPr="00000000">
              <w:rPr>
                <w:rtl w:val="0"/>
              </w:rPr>
              <w:t xml:space="preserve">kašlj-ete</w:t>
            </w:r>
          </w:p>
        </w:tc>
      </w:tr>
      <w:tr>
        <w:trPr>
          <w:cantSplit w:val="0"/>
          <w:tblHeader w:val="0"/>
        </w:trPr>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9">
            <w:pPr>
              <w:spacing w:line="240" w:lineRule="auto"/>
              <w:rPr/>
            </w:pPr>
            <w:hyperlink r:id="rId22">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A">
            <w:pPr>
              <w:spacing w:line="240" w:lineRule="auto"/>
              <w:rPr/>
            </w:pPr>
            <w:r w:rsidDel="00000000" w:rsidR="00000000" w:rsidRPr="00000000">
              <w:rPr>
                <w:rtl w:val="0"/>
              </w:rPr>
              <w:t xml:space="preserve">on/-a/-o </w:t>
            </w:r>
          </w:p>
        </w:tc>
        <w:tc>
          <w:tcPr>
            <w:tcBorders>
              <w:top w:color="000000" w:space="0" w:sz="4" w:val="single"/>
              <w:left w:color="000000" w:space="0" w:sz="0" w:val="nil"/>
              <w:bottom w:color="000000" w:space="0" w:sz="4" w:val="single"/>
              <w:right w:color="000000" w:space="0" w:sz="4" w:val="dotted"/>
            </w:tcBorders>
            <w:tcMar>
              <w:top w:w="100.0" w:type="dxa"/>
              <w:left w:w="100.0" w:type="dxa"/>
              <w:bottom w:w="100.0" w:type="dxa"/>
              <w:right w:w="100.0" w:type="dxa"/>
            </w:tcMar>
            <w:vAlign w:val="center"/>
          </w:tcPr>
          <w:p w:rsidR="00000000" w:rsidDel="00000000" w:rsidP="00000000" w:rsidRDefault="00000000" w:rsidRPr="00000000" w14:paraId="0000005B">
            <w:pPr>
              <w:spacing w:line="240" w:lineRule="auto"/>
              <w:rPr/>
            </w:pPr>
            <w:r w:rsidDel="00000000" w:rsidR="00000000" w:rsidRPr="00000000">
              <w:rPr>
                <w:rtl w:val="0"/>
              </w:rPr>
              <w:t xml:space="preserve">kašlj-e</w:t>
            </w:r>
          </w:p>
        </w:tc>
        <w:tc>
          <w:tcPr>
            <w:tcBorders>
              <w:top w:color="000000" w:space="0" w:sz="0" w:val="nil"/>
              <w:left w:color="000000" w:space="0" w:sz="4" w:val="dotted"/>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C">
            <w:pPr>
              <w:spacing w:line="240" w:lineRule="auto"/>
              <w:rPr/>
            </w:pPr>
            <w:hyperlink r:id="rId23">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D">
            <w:pPr>
              <w:spacing w:line="240" w:lineRule="auto"/>
              <w:rPr/>
            </w:pPr>
            <w:r w:rsidDel="00000000" w:rsidR="00000000" w:rsidRPr="00000000">
              <w:rPr>
                <w:rtl w:val="0"/>
              </w:rPr>
              <w:t xml:space="preserve">oni/-e/-a </w:t>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E">
            <w:pPr>
              <w:spacing w:line="240" w:lineRule="auto"/>
              <w:rPr/>
            </w:pPr>
            <w:r w:rsidDel="00000000" w:rsidR="00000000" w:rsidRPr="00000000">
              <w:rPr>
                <w:rtl w:val="0"/>
              </w:rPr>
              <w:t xml:space="preserve">kašlj-u</w:t>
            </w:r>
          </w:p>
        </w:tc>
      </w:tr>
    </w:tbl>
    <w:p w:rsidR="00000000" w:rsidDel="00000000" w:rsidP="00000000" w:rsidRDefault="00000000" w:rsidRPr="00000000" w14:paraId="0000005F">
      <w:pPr>
        <w:pStyle w:val="Heading1"/>
        <w:spacing w:line="240" w:lineRule="auto"/>
        <w:rPr>
          <w:color w:val="cc2909"/>
        </w:rPr>
      </w:pPr>
      <w:bookmarkStart w:colFirst="0" w:colLast="0" w:name="_ev67zilnyazh" w:id="4"/>
      <w:bookmarkEnd w:id="4"/>
      <w:r w:rsidDel="00000000" w:rsidR="00000000" w:rsidRPr="00000000">
        <w:rPr>
          <w:color w:val="cc2909"/>
          <w:rtl w:val="0"/>
        </w:rPr>
        <w:t xml:space="preserve">9.3 Zadatak 1. Što radimo?</w:t>
      </w:r>
    </w:p>
    <w:p w:rsidR="00000000" w:rsidDel="00000000" w:rsidP="00000000" w:rsidRDefault="00000000" w:rsidRPr="00000000" w14:paraId="00000060">
      <w:pPr>
        <w:rPr/>
      </w:pPr>
      <w:r w:rsidDel="00000000" w:rsidR="00000000" w:rsidRPr="00000000">
        <w:rPr>
          <w:rtl w:val="0"/>
        </w:rPr>
        <w:t xml:space="preserve">Write the present tense form of the following verbs. Pay attention to which form you need to </w:t>
      </w:r>
      <w:r w:rsidDel="00000000" w:rsidR="00000000" w:rsidRPr="00000000">
        <w:rPr>
          <w:rtl w:val="0"/>
        </w:rPr>
        <w:t xml:space="preserve">use</w:t>
      </w:r>
      <w:r w:rsidDel="00000000" w:rsidR="00000000" w:rsidRPr="00000000">
        <w:rPr>
          <w:rtl w:val="0"/>
        </w:rPr>
        <w:t xml:space="preserve">.</w:t>
      </w:r>
    </w:p>
    <w:p w:rsidR="00000000" w:rsidDel="00000000" w:rsidP="00000000" w:rsidRDefault="00000000" w:rsidRPr="00000000" w14:paraId="00000061">
      <w:pPr>
        <w:rPr/>
      </w:pPr>
      <w:r w:rsidDel="00000000" w:rsidR="00000000" w:rsidRPr="00000000">
        <w:rPr>
          <w:rtl w:val="0"/>
        </w:rPr>
        <w:t xml:space="preserve">[h5p id="855"]</w:t>
      </w:r>
    </w:p>
    <w:p w:rsidR="00000000" w:rsidDel="00000000" w:rsidP="00000000" w:rsidRDefault="00000000" w:rsidRPr="00000000" w14:paraId="00000062">
      <w:pPr>
        <w:pStyle w:val="Heading1"/>
        <w:rPr/>
      </w:pPr>
      <w:bookmarkStart w:colFirst="0" w:colLast="0" w:name="_w0ys3pi64par" w:id="5"/>
      <w:bookmarkEnd w:id="5"/>
      <w:r w:rsidDel="00000000" w:rsidR="00000000" w:rsidRPr="00000000">
        <w:rPr>
          <w:color w:val="cc2909"/>
          <w:rtl w:val="0"/>
        </w:rPr>
        <w:t xml:space="preserve">|</w:t>
      </w:r>
      <w:r w:rsidDel="00000000" w:rsidR="00000000" w:rsidRPr="00000000">
        <w:rPr>
          <w:rtl w:val="0"/>
        </w:rPr>
        <w:t xml:space="preserve"> The Imperative of –ti verbs</w:t>
      </w:r>
    </w:p>
    <w:p w:rsidR="00000000" w:rsidDel="00000000" w:rsidP="00000000" w:rsidRDefault="00000000" w:rsidRPr="00000000" w14:paraId="00000063">
      <w:pPr>
        <w:rPr/>
      </w:pPr>
      <w:r w:rsidDel="00000000" w:rsidR="00000000" w:rsidRPr="00000000">
        <w:rPr>
          <w:rtl w:val="0"/>
        </w:rPr>
        <w:t xml:space="preserve">The imperative mood expresses a command and personal pronouns are not used in the imperative. The Imperative is used to express commands in the second person singular (ti) and first (mi) and second (vi) persons plural. It is formed by adding a certain ending to each form. Look at the tables below. The present tense form is also given for better understanding why we form the imperative in this specific way. </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4">
            <w:pPr>
              <w:spacing w:line="240" w:lineRule="auto"/>
              <w:jc w:val="center"/>
              <w:rPr>
                <w:b w:val="1"/>
                <w:bCs w:val="1"/>
              </w:rPr>
            </w:pPr>
            <w:r w:rsidDel="00000000" w:rsidR="00000000" w:rsidRPr="00000000">
              <w:rPr>
                <w:b w:val="1"/>
                <w:bCs w:val="1"/>
                <w:rtl w:val="0"/>
              </w:rPr>
              <w:t xml:space="preserve">STATI (to stop)</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5">
            <w:pPr>
              <w:spacing w:line="240" w:lineRule="auto"/>
              <w:jc w:val="center"/>
              <w:rPr>
                <w:b w:val="1"/>
                <w:bCs w:val="1"/>
              </w:rPr>
            </w:pPr>
            <w:r w:rsidDel="00000000" w:rsidR="00000000" w:rsidRPr="00000000">
              <w:rPr>
                <w:b w:val="1"/>
                <w:bCs w:val="1"/>
                <w:rtl w:val="0"/>
              </w:rPr>
              <w:t xml:space="preserve">SVRATITI (to stop by)</w:t>
            </w:r>
          </w:p>
        </w:tc>
      </w:tr>
      <w:tr>
        <w:trPr>
          <w:cantSplit w:val="0"/>
          <w:tblHeader w:val="0"/>
        </w:trPr>
        <w:tc>
          <w:tcPr>
            <w:tcBorders>
              <w:top w:color="ffffff" w:space="0" w:sz="24"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6">
            <w:pPr>
              <w:spacing w:line="240" w:lineRule="auto"/>
              <w:rPr/>
            </w:pPr>
            <w:r w:rsidDel="00000000" w:rsidR="00000000" w:rsidRPr="00000000">
              <w:rPr/>
              <w:drawing>
                <wp:inline distB="114300" distT="114300" distL="114300" distR="114300">
                  <wp:extent cx="2838450" cy="3784600"/>
                  <wp:effectExtent b="0" l="0" r="0" t="0"/>
                  <wp:docPr id="3"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2838450" cy="3784600"/>
                          </a:xfrm>
                          <a:prstGeom prst="rect"/>
                          <a:ln/>
                        </pic:spPr>
                      </pic:pic>
                    </a:graphicData>
                  </a:graphic>
                </wp:inline>
              </w:drawing>
            </w:r>
            <w:r w:rsidDel="00000000" w:rsidR="00000000" w:rsidRPr="00000000">
              <w:rPr>
                <w:rtl w:val="0"/>
              </w:rPr>
            </w:r>
          </w:p>
        </w:tc>
        <w:tc>
          <w:tcPr>
            <w:tcBorders>
              <w:top w:color="ffffff" w:space="0" w:sz="24"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7">
            <w:pPr>
              <w:spacing w:line="240" w:lineRule="auto"/>
              <w:rPr/>
            </w:pPr>
            <w:r w:rsidDel="00000000" w:rsidR="00000000" w:rsidRPr="00000000">
              <w:rPr/>
              <w:drawing>
                <wp:inline distB="114300" distT="114300" distL="114300" distR="114300">
                  <wp:extent cx="2838450" cy="3784600"/>
                  <wp:effectExtent b="0" l="0" r="0" t="0"/>
                  <wp:docPr id="4"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2838450" cy="3784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8">
      <w:pPr>
        <w:pStyle w:val="Heading2"/>
        <w:rPr/>
      </w:pPr>
      <w:bookmarkStart w:colFirst="0" w:colLast="0" w:name="_waujjn5a3tmf" w:id="6"/>
      <w:bookmarkEnd w:id="6"/>
      <w:r w:rsidDel="00000000" w:rsidR="00000000" w:rsidRPr="00000000">
        <w:rPr>
          <w:color w:val="f98070"/>
          <w:rtl w:val="0"/>
        </w:rPr>
        <w:t xml:space="preserve">|</w:t>
      </w:r>
      <w:r w:rsidDel="00000000" w:rsidR="00000000" w:rsidRPr="00000000">
        <w:rPr>
          <w:rtl w:val="0"/>
        </w:rPr>
        <w:t xml:space="preserve"> Endings #1 </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69">
            <w:pPr>
              <w:spacing w:line="240" w:lineRule="auto"/>
              <w:rPr/>
            </w:pPr>
            <w:r w:rsidDel="00000000" w:rsidR="00000000" w:rsidRPr="00000000">
              <w:rPr>
                <w:rtl w:val="0"/>
              </w:rPr>
              <w:t xml:space="preserve">Infinitive </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6A">
            <w:pPr>
              <w:spacing w:line="240" w:lineRule="auto"/>
              <w:rPr/>
            </w:pPr>
            <w:r w:rsidDel="00000000" w:rsidR="00000000" w:rsidRPr="00000000">
              <w:rPr>
                <w:rtl w:val="0"/>
              </w:rPr>
              <w:t xml:space="preserve">GLADATI (gled–am)</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6B">
            <w:pPr>
              <w:spacing w:line="240" w:lineRule="auto"/>
              <w:rPr/>
            </w:pPr>
            <w:r w:rsidDel="00000000" w:rsidR="00000000" w:rsidRPr="00000000">
              <w:rPr>
                <w:rtl w:val="0"/>
              </w:rPr>
              <w:t xml:space="preserve">KUPOVATI (kup-u-jem)</w:t>
            </w:r>
          </w:p>
        </w:tc>
      </w:tr>
      <w:tr>
        <w:trPr>
          <w:cantSplit w:val="0"/>
          <w:tblHeader w:val="0"/>
        </w:trPr>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C">
            <w:pPr>
              <w:spacing w:line="240" w:lineRule="auto"/>
              <w:rPr/>
            </w:pPr>
            <w:r w:rsidDel="00000000" w:rsidR="00000000" w:rsidRPr="00000000">
              <w:rPr>
                <w:rtl w:val="0"/>
              </w:rPr>
              <w:t xml:space="preserve">2nd person sing. – ti</w:t>
            </w:r>
          </w:p>
        </w:tc>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D">
            <w:pPr>
              <w:spacing w:line="240" w:lineRule="auto"/>
              <w:rPr/>
            </w:pPr>
            <w:r w:rsidDel="00000000" w:rsidR="00000000" w:rsidRPr="00000000">
              <w:rPr>
                <w:rtl w:val="0"/>
              </w:rPr>
              <w:t xml:space="preserve">gleda–j</w:t>
            </w:r>
          </w:p>
        </w:tc>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E">
            <w:pPr>
              <w:spacing w:line="240" w:lineRule="auto"/>
              <w:rPr/>
            </w:pPr>
            <w:r w:rsidDel="00000000" w:rsidR="00000000" w:rsidRPr="00000000">
              <w:rPr>
                <w:rtl w:val="0"/>
              </w:rPr>
              <w:t xml:space="preserve">kup-u–j</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F">
            <w:pPr>
              <w:spacing w:line="240" w:lineRule="auto"/>
              <w:rPr/>
            </w:pPr>
            <w:r w:rsidDel="00000000" w:rsidR="00000000" w:rsidRPr="00000000">
              <w:rPr>
                <w:rtl w:val="0"/>
              </w:rPr>
              <w:t xml:space="preserve">1st person pl. – mi</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0">
            <w:pPr>
              <w:spacing w:line="240" w:lineRule="auto"/>
              <w:rPr/>
            </w:pPr>
            <w:r w:rsidDel="00000000" w:rsidR="00000000" w:rsidRPr="00000000">
              <w:rPr>
                <w:rtl w:val="0"/>
              </w:rPr>
              <w:t xml:space="preserve">gleda–jmo</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1">
            <w:pPr>
              <w:spacing w:line="240" w:lineRule="auto"/>
              <w:rPr/>
            </w:pPr>
            <w:r w:rsidDel="00000000" w:rsidR="00000000" w:rsidRPr="00000000">
              <w:rPr>
                <w:rtl w:val="0"/>
              </w:rPr>
              <w:t xml:space="preserve">kup-u–jmo</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2">
            <w:pPr>
              <w:spacing w:line="240" w:lineRule="auto"/>
              <w:rPr/>
            </w:pPr>
            <w:r w:rsidDel="00000000" w:rsidR="00000000" w:rsidRPr="00000000">
              <w:rPr>
                <w:rtl w:val="0"/>
              </w:rPr>
              <w:t xml:space="preserve">2nd person pl. – vi/Vi</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3">
            <w:pPr>
              <w:spacing w:line="240" w:lineRule="auto"/>
              <w:rPr/>
            </w:pPr>
            <w:r w:rsidDel="00000000" w:rsidR="00000000" w:rsidRPr="00000000">
              <w:rPr>
                <w:rtl w:val="0"/>
              </w:rPr>
              <w:t xml:space="preserve">gleda–jte</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4">
            <w:pPr>
              <w:spacing w:line="240" w:lineRule="auto"/>
              <w:rPr/>
            </w:pPr>
            <w:r w:rsidDel="00000000" w:rsidR="00000000" w:rsidRPr="00000000">
              <w:rPr>
                <w:rtl w:val="0"/>
              </w:rPr>
              <w:t xml:space="preserve">kup-u–jte</w:t>
            </w:r>
          </w:p>
        </w:tc>
      </w:tr>
    </w:tbl>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The first type of endings is used for most regular -ti verbs (usually those ending in –ati [</w:t>
      </w:r>
      <w:r w:rsidDel="00000000" w:rsidR="00000000" w:rsidRPr="00000000">
        <w:rPr>
          <w:i w:val="1"/>
          <w:iCs w:val="1"/>
          <w:rtl w:val="0"/>
        </w:rPr>
        <w:t xml:space="preserve">gledati</w:t>
      </w:r>
      <w:r w:rsidDel="00000000" w:rsidR="00000000" w:rsidRPr="00000000">
        <w:rPr>
          <w:rtl w:val="0"/>
        </w:rPr>
        <w:t xml:space="preserve">] or –ovati [</w:t>
      </w:r>
      <w:r w:rsidDel="00000000" w:rsidR="00000000" w:rsidRPr="00000000">
        <w:rPr>
          <w:i w:val="1"/>
          <w:iCs w:val="1"/>
          <w:rtl w:val="0"/>
        </w:rPr>
        <w:t xml:space="preserve">kupovati</w:t>
      </w:r>
      <w:r w:rsidDel="00000000" w:rsidR="00000000" w:rsidRPr="00000000">
        <w:rPr>
          <w:rtl w:val="0"/>
        </w:rPr>
        <w:t xml:space="preserve">]). Compare the above present tense form with the imperative form to see the similarities within the stem of the verb.</w:t>
      </w:r>
    </w:p>
    <w:p w:rsidR="00000000" w:rsidDel="00000000" w:rsidP="00000000" w:rsidRDefault="00000000" w:rsidRPr="00000000" w14:paraId="00000077">
      <w:pPr>
        <w:pStyle w:val="Heading2"/>
        <w:rPr/>
      </w:pPr>
      <w:bookmarkStart w:colFirst="0" w:colLast="0" w:name="_6i70rf9pb4y" w:id="7"/>
      <w:bookmarkEnd w:id="7"/>
      <w:r w:rsidDel="00000000" w:rsidR="00000000" w:rsidRPr="00000000">
        <w:rPr>
          <w:color w:val="f98070"/>
          <w:rtl w:val="0"/>
        </w:rPr>
        <w:t xml:space="preserve">|</w:t>
      </w:r>
      <w:r w:rsidDel="00000000" w:rsidR="00000000" w:rsidRPr="00000000">
        <w:rPr>
          <w:rtl w:val="0"/>
        </w:rPr>
        <w:t xml:space="preserve"> Endings #2 </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gridCol w:w="2165.0000000000005"/>
        <w:gridCol w:w="2165.0000000000005"/>
        <w:gridCol w:w="2165.0000000000005"/>
        <w:tblGridChange w:id="0">
          <w:tblGrid>
            <w:gridCol w:w="2865"/>
            <w:gridCol w:w="2165.0000000000005"/>
            <w:gridCol w:w="2165.0000000000005"/>
            <w:gridCol w:w="2165.0000000000005"/>
          </w:tblGrid>
        </w:tblGridChange>
      </w:tblGrid>
      <w:tr>
        <w:trPr>
          <w:cantSplit w:val="0"/>
          <w:tblHeader w:val="0"/>
        </w:trPr>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78">
            <w:pPr>
              <w:spacing w:line="240" w:lineRule="auto"/>
              <w:rPr/>
            </w:pPr>
            <w:r w:rsidDel="00000000" w:rsidR="00000000" w:rsidRPr="00000000">
              <w:rPr>
                <w:rtl w:val="0"/>
              </w:rPr>
              <w:t xml:space="preserve">Infinitive </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79">
            <w:pPr>
              <w:spacing w:line="240" w:lineRule="auto"/>
              <w:rPr/>
            </w:pPr>
            <w:r w:rsidDel="00000000" w:rsidR="00000000" w:rsidRPr="00000000">
              <w:rPr>
                <w:rtl w:val="0"/>
              </w:rPr>
              <w:t xml:space="preserve">KUPITI (kup–im)</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7A">
            <w:pPr>
              <w:spacing w:line="240" w:lineRule="auto"/>
              <w:rPr/>
            </w:pPr>
            <w:r w:rsidDel="00000000" w:rsidR="00000000" w:rsidRPr="00000000">
              <w:rPr>
                <w:rtl w:val="0"/>
              </w:rPr>
              <w:t xml:space="preserve">ŽIVJETI (živ–im)</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7B">
            <w:pPr>
              <w:spacing w:line="240" w:lineRule="auto"/>
              <w:rPr/>
            </w:pPr>
            <w:r w:rsidDel="00000000" w:rsidR="00000000" w:rsidRPr="00000000">
              <w:rPr>
                <w:rtl w:val="0"/>
              </w:rPr>
              <w:t xml:space="preserve">TRČATI (trč–im)</w:t>
            </w:r>
          </w:p>
        </w:tc>
      </w:tr>
      <w:tr>
        <w:trPr>
          <w:cantSplit w:val="0"/>
          <w:tblHeader w:val="0"/>
        </w:trPr>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C">
            <w:pPr>
              <w:spacing w:line="240" w:lineRule="auto"/>
              <w:rPr/>
            </w:pPr>
            <w:r w:rsidDel="00000000" w:rsidR="00000000" w:rsidRPr="00000000">
              <w:rPr>
                <w:rtl w:val="0"/>
              </w:rPr>
              <w:t xml:space="preserve">2nd person sing. – ti</w:t>
            </w:r>
          </w:p>
        </w:tc>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D">
            <w:pPr>
              <w:spacing w:line="240" w:lineRule="auto"/>
              <w:rPr/>
            </w:pPr>
            <w:r w:rsidDel="00000000" w:rsidR="00000000" w:rsidRPr="00000000">
              <w:rPr>
                <w:rtl w:val="0"/>
              </w:rPr>
              <w:t xml:space="preserve">kup–i</w:t>
            </w:r>
          </w:p>
        </w:tc>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E">
            <w:pPr>
              <w:spacing w:line="240" w:lineRule="auto"/>
              <w:rPr/>
            </w:pPr>
            <w:r w:rsidDel="00000000" w:rsidR="00000000" w:rsidRPr="00000000">
              <w:rPr>
                <w:rtl w:val="0"/>
              </w:rPr>
              <w:t xml:space="preserve">živ–i</w:t>
            </w:r>
          </w:p>
        </w:tc>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F">
            <w:pPr>
              <w:spacing w:line="240" w:lineRule="auto"/>
              <w:rPr/>
            </w:pPr>
            <w:r w:rsidDel="00000000" w:rsidR="00000000" w:rsidRPr="00000000">
              <w:rPr>
                <w:rtl w:val="0"/>
              </w:rPr>
              <w:t xml:space="preserve">trč–i</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0">
            <w:pPr>
              <w:spacing w:line="240" w:lineRule="auto"/>
              <w:rPr/>
            </w:pPr>
            <w:r w:rsidDel="00000000" w:rsidR="00000000" w:rsidRPr="00000000">
              <w:rPr>
                <w:rtl w:val="0"/>
              </w:rPr>
              <w:t xml:space="preserve">1st person pl. – mi</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1">
            <w:pPr>
              <w:spacing w:line="240" w:lineRule="auto"/>
              <w:rPr/>
            </w:pPr>
            <w:r w:rsidDel="00000000" w:rsidR="00000000" w:rsidRPr="00000000">
              <w:rPr>
                <w:rtl w:val="0"/>
              </w:rPr>
              <w:t xml:space="preserve">kup–imo</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2">
            <w:pPr>
              <w:spacing w:line="240" w:lineRule="auto"/>
              <w:rPr/>
            </w:pPr>
            <w:r w:rsidDel="00000000" w:rsidR="00000000" w:rsidRPr="00000000">
              <w:rPr>
                <w:rtl w:val="0"/>
              </w:rPr>
              <w:t xml:space="preserve">živ–imo</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3">
            <w:pPr>
              <w:spacing w:line="240" w:lineRule="auto"/>
              <w:rPr/>
            </w:pPr>
            <w:r w:rsidDel="00000000" w:rsidR="00000000" w:rsidRPr="00000000">
              <w:rPr>
                <w:rtl w:val="0"/>
              </w:rPr>
              <w:t xml:space="preserve">trč–imo</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4">
            <w:pPr>
              <w:spacing w:line="240" w:lineRule="auto"/>
              <w:rPr/>
            </w:pPr>
            <w:r w:rsidDel="00000000" w:rsidR="00000000" w:rsidRPr="00000000">
              <w:rPr>
                <w:rtl w:val="0"/>
              </w:rPr>
              <w:t xml:space="preserve">2nd person pl. – vi/Vi</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5">
            <w:pPr>
              <w:spacing w:line="240" w:lineRule="auto"/>
              <w:rPr/>
            </w:pPr>
            <w:r w:rsidDel="00000000" w:rsidR="00000000" w:rsidRPr="00000000">
              <w:rPr>
                <w:rtl w:val="0"/>
              </w:rPr>
              <w:t xml:space="preserve">kup–ite</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6">
            <w:pPr>
              <w:spacing w:line="240" w:lineRule="auto"/>
              <w:rPr/>
            </w:pPr>
            <w:r w:rsidDel="00000000" w:rsidR="00000000" w:rsidRPr="00000000">
              <w:rPr>
                <w:rtl w:val="0"/>
              </w:rPr>
              <w:t xml:space="preserve">živ–ite</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7">
            <w:pPr>
              <w:spacing w:line="240" w:lineRule="auto"/>
              <w:rPr/>
            </w:pPr>
            <w:r w:rsidDel="00000000" w:rsidR="00000000" w:rsidRPr="00000000">
              <w:rPr>
                <w:rtl w:val="0"/>
              </w:rPr>
              <w:t xml:space="preserve">trč–ite</w:t>
            </w:r>
          </w:p>
        </w:tc>
      </w:tr>
    </w:tbl>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The second type of endings are used mostly for the verbs that end in –iti [kupiti], –jeti [voljeti], or certain –ati verbs that do not follow the regular ending paradigm within that group [trčati, kihati, disati]. Always think of the present tense when forming the imperative, it will help you determine what type of endings to use. </w:t>
      </w:r>
    </w:p>
    <w:p w:rsidR="00000000" w:rsidDel="00000000" w:rsidP="00000000" w:rsidRDefault="00000000" w:rsidRPr="00000000" w14:paraId="0000008A">
      <w:pPr>
        <w:pStyle w:val="Heading1"/>
        <w:rPr/>
      </w:pPr>
      <w:bookmarkStart w:colFirst="0" w:colLast="0" w:name="_goqp92oxii7z" w:id="8"/>
      <w:bookmarkEnd w:id="8"/>
      <w:r w:rsidDel="00000000" w:rsidR="00000000" w:rsidRPr="00000000">
        <w:rPr>
          <w:color w:val="cc2909"/>
          <w:rtl w:val="0"/>
        </w:rPr>
        <w:t xml:space="preserve">|</w:t>
      </w:r>
      <w:r w:rsidDel="00000000" w:rsidR="00000000" w:rsidRPr="00000000">
        <w:rPr>
          <w:rtl w:val="0"/>
        </w:rPr>
        <w:t xml:space="preserve"> What happens with the third person singular/plural in the Imperative?</w:t>
      </w:r>
    </w:p>
    <w:p w:rsidR="00000000" w:rsidDel="00000000" w:rsidP="00000000" w:rsidRDefault="00000000" w:rsidRPr="00000000" w14:paraId="0000008B">
      <w:pPr>
        <w:rPr/>
      </w:pPr>
      <w:r w:rsidDel="00000000" w:rsidR="00000000" w:rsidRPr="00000000">
        <w:rPr>
          <w:rtl w:val="0"/>
        </w:rPr>
        <w:t xml:space="preserve">If you think about it, we cannot actually give a direct command to him/her/them. Since a third person is not in our company we cannot express a command directly. Think of the English structure “let him eat the salad.” With this structure we are saying to someone (who is in our company) to send our message to a third person (who is not in our company) that he can eat the salad. This same notion/structure exists in Croatian as well. To form the third person singular or plural form in the imperative, we used the following structure: neka + present tense of the 3rd person singular or plural. </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0"/>
        <w:gridCol w:w="3240"/>
        <w:gridCol w:w="3120"/>
        <w:tblGridChange w:id="0">
          <w:tblGrid>
            <w:gridCol w:w="3000"/>
            <w:gridCol w:w="3240"/>
            <w:gridCol w:w="3120"/>
          </w:tblGrid>
        </w:tblGridChange>
      </w:tblGrid>
      <w:tr>
        <w:trPr>
          <w:cantSplit w:val="0"/>
          <w:tblHeader w:val="0"/>
        </w:trPr>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8C">
            <w:pPr>
              <w:spacing w:line="240" w:lineRule="auto"/>
              <w:rPr/>
            </w:pPr>
            <w:r w:rsidDel="00000000" w:rsidR="00000000" w:rsidRPr="00000000">
              <w:rPr>
                <w:rtl w:val="0"/>
              </w:rPr>
              <w:t xml:space="preserve">Infinitive </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8D">
            <w:pPr>
              <w:spacing w:line="240" w:lineRule="auto"/>
              <w:rPr/>
            </w:pPr>
            <w:r w:rsidDel="00000000" w:rsidR="00000000" w:rsidRPr="00000000">
              <w:rPr>
                <w:rtl w:val="0"/>
              </w:rPr>
              <w:t xml:space="preserve">Imperative 3rd person sing.</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8E">
            <w:pPr>
              <w:spacing w:line="240" w:lineRule="auto"/>
              <w:rPr/>
            </w:pPr>
            <w:r w:rsidDel="00000000" w:rsidR="00000000" w:rsidRPr="00000000">
              <w:rPr>
                <w:rtl w:val="0"/>
              </w:rPr>
              <w:t xml:space="preserve">Imperative 3rd person pl.</w:t>
            </w:r>
          </w:p>
        </w:tc>
      </w:tr>
      <w:tr>
        <w:trPr>
          <w:cantSplit w:val="0"/>
          <w:tblHeader w:val="0"/>
        </w:trPr>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F">
            <w:pPr>
              <w:spacing w:line="240" w:lineRule="auto"/>
              <w:rPr/>
            </w:pPr>
            <w:r w:rsidDel="00000000" w:rsidR="00000000" w:rsidRPr="00000000">
              <w:rPr>
                <w:rtl w:val="0"/>
              </w:rPr>
              <w:t xml:space="preserve">GLADATI (gled–am)</w:t>
            </w:r>
          </w:p>
        </w:tc>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0">
            <w:pPr>
              <w:spacing w:line="240" w:lineRule="auto"/>
              <w:rPr/>
            </w:pPr>
            <w:r w:rsidDel="00000000" w:rsidR="00000000" w:rsidRPr="00000000">
              <w:rPr>
                <w:rtl w:val="0"/>
              </w:rPr>
              <w:t xml:space="preserve">neka gleda</w:t>
            </w:r>
          </w:p>
        </w:tc>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1">
            <w:pPr>
              <w:spacing w:line="240" w:lineRule="auto"/>
              <w:rPr/>
            </w:pPr>
            <w:r w:rsidDel="00000000" w:rsidR="00000000" w:rsidRPr="00000000">
              <w:rPr>
                <w:rtl w:val="0"/>
              </w:rPr>
              <w:t xml:space="preserve">neka gledaju</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2">
            <w:pPr>
              <w:spacing w:line="240" w:lineRule="auto"/>
              <w:rPr/>
            </w:pPr>
            <w:r w:rsidDel="00000000" w:rsidR="00000000" w:rsidRPr="00000000">
              <w:rPr>
                <w:rtl w:val="0"/>
              </w:rPr>
              <w:t xml:space="preserve">KUPOVATI (kup-u-jem)</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3">
            <w:pPr>
              <w:spacing w:line="240" w:lineRule="auto"/>
              <w:rPr/>
            </w:pPr>
            <w:r w:rsidDel="00000000" w:rsidR="00000000" w:rsidRPr="00000000">
              <w:rPr>
                <w:rtl w:val="0"/>
              </w:rPr>
              <w:t xml:space="preserve">neka kupuje</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4">
            <w:pPr>
              <w:spacing w:line="240" w:lineRule="auto"/>
              <w:rPr/>
            </w:pPr>
            <w:r w:rsidDel="00000000" w:rsidR="00000000" w:rsidRPr="00000000">
              <w:rPr>
                <w:rtl w:val="0"/>
              </w:rPr>
              <w:t xml:space="preserve">neka kupuju</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5">
            <w:pPr>
              <w:spacing w:line="240" w:lineRule="auto"/>
              <w:rPr/>
            </w:pPr>
            <w:r w:rsidDel="00000000" w:rsidR="00000000" w:rsidRPr="00000000">
              <w:rPr>
                <w:rtl w:val="0"/>
              </w:rPr>
              <w:t xml:space="preserve">KUPITI (kup–im)</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6">
            <w:pPr>
              <w:spacing w:line="240" w:lineRule="auto"/>
              <w:rPr/>
            </w:pPr>
            <w:r w:rsidDel="00000000" w:rsidR="00000000" w:rsidRPr="00000000">
              <w:rPr>
                <w:rtl w:val="0"/>
              </w:rPr>
              <w:t xml:space="preserve">neka kupi</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7">
            <w:pPr>
              <w:spacing w:line="240" w:lineRule="auto"/>
              <w:rPr/>
            </w:pPr>
            <w:r w:rsidDel="00000000" w:rsidR="00000000" w:rsidRPr="00000000">
              <w:rPr>
                <w:rtl w:val="0"/>
              </w:rPr>
              <w:t xml:space="preserve">neka kupe</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8">
            <w:pPr>
              <w:spacing w:line="240" w:lineRule="auto"/>
              <w:rPr/>
            </w:pPr>
            <w:r w:rsidDel="00000000" w:rsidR="00000000" w:rsidRPr="00000000">
              <w:rPr>
                <w:rtl w:val="0"/>
              </w:rPr>
              <w:t xml:space="preserve">ŽIVJETI (živ–im)</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9">
            <w:pPr>
              <w:spacing w:line="240" w:lineRule="auto"/>
              <w:rPr/>
            </w:pPr>
            <w:r w:rsidDel="00000000" w:rsidR="00000000" w:rsidRPr="00000000">
              <w:rPr>
                <w:rtl w:val="0"/>
              </w:rPr>
              <w:t xml:space="preserve">neka živi</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A">
            <w:pPr>
              <w:spacing w:line="240" w:lineRule="auto"/>
              <w:rPr/>
            </w:pPr>
            <w:r w:rsidDel="00000000" w:rsidR="00000000" w:rsidRPr="00000000">
              <w:rPr>
                <w:rtl w:val="0"/>
              </w:rPr>
              <w:t xml:space="preserve">neka žive</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B">
            <w:pPr>
              <w:spacing w:line="240" w:lineRule="auto"/>
              <w:rPr/>
            </w:pPr>
            <w:r w:rsidDel="00000000" w:rsidR="00000000" w:rsidRPr="00000000">
              <w:rPr>
                <w:rtl w:val="0"/>
              </w:rPr>
              <w:t xml:space="preserve">TRČATI (trč–im)</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C">
            <w:pPr>
              <w:spacing w:line="240" w:lineRule="auto"/>
              <w:rPr/>
            </w:pPr>
            <w:r w:rsidDel="00000000" w:rsidR="00000000" w:rsidRPr="00000000">
              <w:rPr>
                <w:rtl w:val="0"/>
              </w:rPr>
              <w:t xml:space="preserve">neka trči</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D">
            <w:pPr>
              <w:spacing w:line="240" w:lineRule="auto"/>
              <w:rPr/>
            </w:pPr>
            <w:r w:rsidDel="00000000" w:rsidR="00000000" w:rsidRPr="00000000">
              <w:rPr>
                <w:rtl w:val="0"/>
              </w:rPr>
              <w:t xml:space="preserve">neka trče</w:t>
            </w:r>
          </w:p>
        </w:tc>
      </w:tr>
    </w:tbl>
    <w:p w:rsidR="00000000" w:rsidDel="00000000" w:rsidP="00000000" w:rsidRDefault="00000000" w:rsidRPr="00000000" w14:paraId="0000009E">
      <w:pPr>
        <w:pStyle w:val="Heading1"/>
        <w:spacing w:line="240" w:lineRule="auto"/>
        <w:rPr>
          <w:color w:val="cc2909"/>
        </w:rPr>
      </w:pPr>
      <w:bookmarkStart w:colFirst="0" w:colLast="0" w:name="_j7yer9deg2pa" w:id="9"/>
      <w:bookmarkEnd w:id="9"/>
      <w:r w:rsidDel="00000000" w:rsidR="00000000" w:rsidRPr="00000000">
        <w:rPr>
          <w:color w:val="cc2909"/>
          <w:rtl w:val="0"/>
        </w:rPr>
        <w:t xml:space="preserve">9.3 Zadatak 2. Slušaj me!</w:t>
      </w:r>
    </w:p>
    <w:p w:rsidR="00000000" w:rsidDel="00000000" w:rsidP="00000000" w:rsidRDefault="00000000" w:rsidRPr="00000000" w14:paraId="0000009F">
      <w:pPr>
        <w:rPr/>
      </w:pPr>
      <w:r w:rsidDel="00000000" w:rsidR="00000000" w:rsidRPr="00000000">
        <w:rPr>
          <w:rtl w:val="0"/>
        </w:rPr>
        <w:t xml:space="preserve">Write the appropriate form of the following verbs in the imperative form. </w:t>
      </w:r>
      <w:r w:rsidDel="00000000" w:rsidR="00000000" w:rsidRPr="00000000">
        <w:rPr>
          <w:rtl w:val="0"/>
        </w:rPr>
        <w:t xml:space="preserve">Imagine</w:t>
      </w:r>
      <w:r w:rsidDel="00000000" w:rsidR="00000000" w:rsidRPr="00000000">
        <w:rPr>
          <w:rtl w:val="0"/>
        </w:rPr>
        <w:t xml:space="preserve"> that you are giving a command to your friend (i.e. you need to use 2nd person singular).</w:t>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plivati</w:t>
            </w:r>
          </w:p>
        </w:tc>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disati</w:t>
            </w:r>
          </w:p>
        </w:tc>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dizati</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kupiti</w:t>
            </w:r>
          </w:p>
        </w:tc>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šetati</w:t>
            </w:r>
          </w:p>
        </w:tc>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kupovati</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plesati</w:t>
            </w:r>
          </w:p>
        </w:tc>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spavati</w:t>
            </w:r>
          </w:p>
        </w:tc>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trčati</w:t>
            </w:r>
          </w:p>
        </w:tc>
      </w:tr>
    </w:tbl>
    <w:p w:rsidR="00000000" w:rsidDel="00000000" w:rsidP="00000000" w:rsidRDefault="00000000" w:rsidRPr="00000000" w14:paraId="000000A9">
      <w:pPr>
        <w:rPr/>
      </w:pPr>
      <w:r w:rsidDel="00000000" w:rsidR="00000000" w:rsidRPr="00000000">
        <w:rPr>
          <w:rtl w:val="0"/>
        </w:rPr>
        <w:t xml:space="preserve">[h5p id="856"] </w:t>
      </w:r>
    </w:p>
    <w:p w:rsidR="00000000" w:rsidDel="00000000" w:rsidP="00000000" w:rsidRDefault="00000000" w:rsidRPr="00000000" w14:paraId="000000AA">
      <w:pPr>
        <w:pStyle w:val="Heading1"/>
        <w:rPr/>
      </w:pPr>
      <w:bookmarkStart w:colFirst="0" w:colLast="0" w:name="_ixigcbqza37a" w:id="10"/>
      <w:bookmarkEnd w:id="10"/>
      <w:r w:rsidDel="00000000" w:rsidR="00000000" w:rsidRPr="00000000">
        <w:rPr>
          <w:color w:val="cc2909"/>
          <w:rtl w:val="0"/>
        </w:rPr>
        <w:t xml:space="preserve">|</w:t>
      </w:r>
      <w:r w:rsidDel="00000000" w:rsidR="00000000" w:rsidRPr="00000000">
        <w:rPr>
          <w:rtl w:val="0"/>
        </w:rPr>
        <w:t xml:space="preserve"> The Imperative for prohibiting action</w:t>
      </w:r>
    </w:p>
    <w:p w:rsidR="00000000" w:rsidDel="00000000" w:rsidP="00000000" w:rsidRDefault="00000000" w:rsidRPr="00000000" w14:paraId="000000AB">
      <w:pPr>
        <w:rPr/>
      </w:pPr>
      <w:r w:rsidDel="00000000" w:rsidR="00000000" w:rsidRPr="00000000">
        <w:rPr>
          <w:rtl w:val="0"/>
        </w:rPr>
        <w:t xml:space="preserve">The imperative in its negative form expresses the prohibition in doing something. There are two possible ways to express prohibition in Croatian. We will use the verb pričati as an example. </w:t>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0"/>
        <w:gridCol w:w="3300"/>
        <w:gridCol w:w="1275"/>
        <w:gridCol w:w="3405"/>
        <w:tblGridChange w:id="0">
          <w:tblGrid>
            <w:gridCol w:w="1380"/>
            <w:gridCol w:w="3300"/>
            <w:gridCol w:w="1275"/>
            <w:gridCol w:w="3405"/>
          </w:tblGrid>
        </w:tblGridChange>
      </w:tblGrid>
      <w:tr>
        <w:trPr>
          <w:cantSplit w:val="0"/>
          <w:trHeight w:val="440" w:hRule="atLeast"/>
          <w:tblHeader w:val="0"/>
        </w:trPr>
        <w:tc>
          <w:tcPr>
            <w:gridSpan w:val="4"/>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AC">
            <w:pPr>
              <w:spacing w:line="240" w:lineRule="auto"/>
              <w:rPr/>
            </w:pPr>
            <w:r w:rsidDel="00000000" w:rsidR="00000000" w:rsidRPr="00000000">
              <w:rPr>
                <w:rtl w:val="0"/>
              </w:rPr>
              <w:t xml:space="preserve">To express strong prohibition – use NE in front of the imperative form</w:t>
            </w:r>
          </w:p>
        </w:tc>
      </w:tr>
      <w:tr>
        <w:trPr>
          <w:cantSplit w:val="0"/>
          <w:tblHeader w:val="0"/>
        </w:trPr>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0">
            <w:pPr>
              <w:spacing w:line="240" w:lineRule="auto"/>
              <w:rPr/>
            </w:pPr>
            <w:r w:rsidDel="00000000" w:rsidR="00000000" w:rsidRPr="00000000">
              <w:rPr>
                <w:rtl w:val="0"/>
              </w:rPr>
              <w:t xml:space="preserve">ja</w:t>
            </w:r>
          </w:p>
        </w:tc>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1">
            <w:pPr>
              <w:spacing w:line="240" w:lineRule="auto"/>
              <w:rPr/>
            </w:pPr>
            <w:r w:rsidDel="00000000" w:rsidR="00000000" w:rsidRPr="00000000">
              <w:rPr>
                <w:rtl w:val="0"/>
              </w:rPr>
              <w:t xml:space="preserve">-</w:t>
            </w:r>
          </w:p>
        </w:tc>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2">
            <w:pPr>
              <w:spacing w:line="240" w:lineRule="auto"/>
              <w:rPr/>
            </w:pPr>
            <w:r w:rsidDel="00000000" w:rsidR="00000000" w:rsidRPr="00000000">
              <w:rPr>
                <w:rtl w:val="0"/>
              </w:rPr>
              <w:t xml:space="preserve">mi</w:t>
            </w:r>
          </w:p>
        </w:tc>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3">
            <w:pPr>
              <w:spacing w:line="240" w:lineRule="auto"/>
              <w:rPr/>
            </w:pPr>
            <w:r w:rsidDel="00000000" w:rsidR="00000000" w:rsidRPr="00000000">
              <w:rPr>
                <w:rtl w:val="0"/>
              </w:rPr>
              <w:t xml:space="preserve">ne pričajmo</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4">
            <w:pPr>
              <w:spacing w:line="240" w:lineRule="auto"/>
              <w:rPr/>
            </w:pPr>
            <w:r w:rsidDel="00000000" w:rsidR="00000000" w:rsidRPr="00000000">
              <w:rPr>
                <w:rtl w:val="0"/>
              </w:rPr>
              <w:t xml:space="preserve">ti</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5">
            <w:pPr>
              <w:spacing w:line="240" w:lineRule="auto"/>
              <w:rPr/>
            </w:pPr>
            <w:r w:rsidDel="00000000" w:rsidR="00000000" w:rsidRPr="00000000">
              <w:rPr>
                <w:rtl w:val="0"/>
              </w:rPr>
              <w:t xml:space="preserve">ne pričaj</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6">
            <w:pPr>
              <w:spacing w:line="240" w:lineRule="auto"/>
              <w:rPr/>
            </w:pPr>
            <w:r w:rsidDel="00000000" w:rsidR="00000000" w:rsidRPr="00000000">
              <w:rPr>
                <w:rtl w:val="0"/>
              </w:rPr>
              <w:t xml:space="preserve">vi</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7">
            <w:pPr>
              <w:spacing w:line="240" w:lineRule="auto"/>
              <w:rPr/>
            </w:pPr>
            <w:r w:rsidDel="00000000" w:rsidR="00000000" w:rsidRPr="00000000">
              <w:rPr>
                <w:rtl w:val="0"/>
              </w:rPr>
              <w:t xml:space="preserve">ne pričajte</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8">
            <w:pPr>
              <w:spacing w:line="240" w:lineRule="auto"/>
              <w:rPr/>
            </w:pPr>
            <w:r w:rsidDel="00000000" w:rsidR="00000000" w:rsidRPr="00000000">
              <w:rPr>
                <w:rtl w:val="0"/>
              </w:rPr>
              <w:t xml:space="preserve">on/-a</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9">
            <w:pPr>
              <w:spacing w:line="240" w:lineRule="auto"/>
              <w:rPr/>
            </w:pPr>
            <w:r w:rsidDel="00000000" w:rsidR="00000000" w:rsidRPr="00000000">
              <w:rPr>
                <w:rtl w:val="0"/>
              </w:rPr>
              <w:t xml:space="preserve">neka ne priča</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A">
            <w:pPr>
              <w:spacing w:line="240" w:lineRule="auto"/>
              <w:rPr/>
            </w:pPr>
            <w:r w:rsidDel="00000000" w:rsidR="00000000" w:rsidRPr="00000000">
              <w:rPr>
                <w:rtl w:val="0"/>
              </w:rPr>
              <w:t xml:space="preserve">oni/-e</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B">
            <w:pPr>
              <w:spacing w:line="240" w:lineRule="auto"/>
              <w:rPr/>
            </w:pPr>
            <w:r w:rsidDel="00000000" w:rsidR="00000000" w:rsidRPr="00000000">
              <w:rPr>
                <w:rtl w:val="0"/>
              </w:rPr>
              <w:t xml:space="preserve">neka ne pričaju</w:t>
            </w:r>
          </w:p>
        </w:tc>
      </w:tr>
      <w:tr>
        <w:trPr>
          <w:cantSplit w:val="0"/>
          <w:trHeight w:val="440" w:hRule="atLeast"/>
          <w:tblHeader w:val="0"/>
        </w:trPr>
        <w:tc>
          <w:tcPr>
            <w:gridSpan w:val="4"/>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BC">
            <w:pPr>
              <w:spacing w:line="240" w:lineRule="auto"/>
              <w:rPr/>
            </w:pPr>
            <w:r w:rsidDel="00000000" w:rsidR="00000000" w:rsidRPr="00000000">
              <w:rPr>
                <w:rtl w:val="0"/>
              </w:rPr>
              <w:t xml:space="preserve">To express something between a request and prohibition.</w:t>
            </w:r>
          </w:p>
          <w:p w:rsidR="00000000" w:rsidDel="00000000" w:rsidP="00000000" w:rsidRDefault="00000000" w:rsidRPr="00000000" w14:paraId="000000BD">
            <w:pPr>
              <w:spacing w:line="240" w:lineRule="auto"/>
              <w:rPr/>
            </w:pPr>
            <w:r w:rsidDel="00000000" w:rsidR="00000000" w:rsidRPr="00000000">
              <w:rPr>
                <w:rtl w:val="0"/>
              </w:rPr>
              <w:t xml:space="preserve">It is formed by using: nemoj, nemojmo nemojte + infinitive</w:t>
            </w:r>
          </w:p>
        </w:tc>
      </w:tr>
      <w:tr>
        <w:trPr>
          <w:cantSplit w:val="0"/>
          <w:tblHeader w:val="0"/>
        </w:trPr>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1">
            <w:pPr>
              <w:spacing w:line="240" w:lineRule="auto"/>
              <w:rPr/>
            </w:pPr>
            <w:r w:rsidDel="00000000" w:rsidR="00000000" w:rsidRPr="00000000">
              <w:rPr>
                <w:rtl w:val="0"/>
              </w:rPr>
              <w:t xml:space="preserve">ja</w:t>
            </w:r>
          </w:p>
        </w:tc>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2">
            <w:pPr>
              <w:spacing w:line="240" w:lineRule="auto"/>
              <w:rPr/>
            </w:pPr>
            <w:r w:rsidDel="00000000" w:rsidR="00000000" w:rsidRPr="00000000">
              <w:rPr>
                <w:rtl w:val="0"/>
              </w:rPr>
              <w:t xml:space="preserve">-</w:t>
            </w:r>
          </w:p>
        </w:tc>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3">
            <w:pPr>
              <w:spacing w:line="240" w:lineRule="auto"/>
              <w:rPr/>
            </w:pPr>
            <w:r w:rsidDel="00000000" w:rsidR="00000000" w:rsidRPr="00000000">
              <w:rPr>
                <w:rtl w:val="0"/>
              </w:rPr>
              <w:t xml:space="preserve">mi</w:t>
            </w:r>
          </w:p>
        </w:tc>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4">
            <w:pPr>
              <w:spacing w:line="240" w:lineRule="auto"/>
              <w:rPr/>
            </w:pPr>
            <w:r w:rsidDel="00000000" w:rsidR="00000000" w:rsidRPr="00000000">
              <w:rPr>
                <w:rtl w:val="0"/>
              </w:rPr>
              <w:t xml:space="preserve">nemojmo pričati</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5">
            <w:pPr>
              <w:spacing w:line="240" w:lineRule="auto"/>
              <w:rPr/>
            </w:pPr>
            <w:r w:rsidDel="00000000" w:rsidR="00000000" w:rsidRPr="00000000">
              <w:rPr>
                <w:rtl w:val="0"/>
              </w:rPr>
              <w:t xml:space="preserve">ti</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6">
            <w:pPr>
              <w:spacing w:line="240" w:lineRule="auto"/>
              <w:rPr/>
            </w:pPr>
            <w:r w:rsidDel="00000000" w:rsidR="00000000" w:rsidRPr="00000000">
              <w:rPr>
                <w:rtl w:val="0"/>
              </w:rPr>
              <w:t xml:space="preserve">nemoj pričati</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7">
            <w:pPr>
              <w:spacing w:line="240" w:lineRule="auto"/>
              <w:rPr/>
            </w:pPr>
            <w:r w:rsidDel="00000000" w:rsidR="00000000" w:rsidRPr="00000000">
              <w:rPr>
                <w:rtl w:val="0"/>
              </w:rPr>
              <w:t xml:space="preserve">vi</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8">
            <w:pPr>
              <w:spacing w:line="240" w:lineRule="auto"/>
              <w:rPr/>
            </w:pPr>
            <w:r w:rsidDel="00000000" w:rsidR="00000000" w:rsidRPr="00000000">
              <w:rPr>
                <w:rtl w:val="0"/>
              </w:rPr>
              <w:t xml:space="preserve">nemojte pričati</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9">
            <w:pPr>
              <w:spacing w:line="240" w:lineRule="auto"/>
              <w:rPr/>
            </w:pPr>
            <w:r w:rsidDel="00000000" w:rsidR="00000000" w:rsidRPr="00000000">
              <w:rPr>
                <w:rtl w:val="0"/>
              </w:rPr>
              <w:t xml:space="preserve">on/-a</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A">
            <w:pPr>
              <w:spacing w:line="240" w:lineRule="auto"/>
              <w:rPr/>
            </w:pPr>
            <w:r w:rsidDel="00000000" w:rsidR="00000000" w:rsidRPr="00000000">
              <w:rPr>
                <w:rtl w:val="0"/>
              </w:rPr>
              <w:t xml:space="preserve">-</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B">
            <w:pPr>
              <w:spacing w:line="240" w:lineRule="auto"/>
              <w:rPr/>
            </w:pPr>
            <w:r w:rsidDel="00000000" w:rsidR="00000000" w:rsidRPr="00000000">
              <w:rPr>
                <w:rtl w:val="0"/>
              </w:rPr>
              <w:t xml:space="preserve">oni/-e</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C">
            <w:pPr>
              <w:spacing w:line="240" w:lineRule="auto"/>
              <w:rPr/>
            </w:pPr>
            <w:r w:rsidDel="00000000" w:rsidR="00000000" w:rsidRPr="00000000">
              <w:rPr>
                <w:rtl w:val="0"/>
              </w:rPr>
              <w:t xml:space="preserve">-</w:t>
            </w:r>
          </w:p>
        </w:tc>
      </w:tr>
    </w:tbl>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Images used in this document are from </w:t>
      </w:r>
      <w:hyperlink r:id="rId26">
        <w:r w:rsidDel="00000000" w:rsidR="00000000" w:rsidRPr="00000000">
          <w:rPr>
            <w:color w:val="1155cc"/>
            <w:u w:val="single"/>
            <w:rtl w:val="0"/>
          </w:rPr>
          <w:t xml:space="preserve">these sources</w:t>
        </w:r>
      </w:hyperlink>
      <w:r w:rsidDel="00000000" w:rsidR="00000000" w:rsidRPr="00000000">
        <w:rPr>
          <w:rtl w:val="0"/>
        </w:rPr>
        <w:t xml:space="preserve">.  </w:t>
      </w:r>
    </w:p>
    <w:p w:rsidR="00000000" w:rsidDel="00000000" w:rsidP="00000000" w:rsidRDefault="00000000" w:rsidRPr="00000000" w14:paraId="000000CF">
      <w:pPr>
        <w:rPr/>
      </w:pPr>
      <w:r w:rsidDel="00000000" w:rsidR="00000000" w:rsidRPr="00000000">
        <w:rPr>
          <w:rtl w:val="0"/>
        </w:rPr>
        <w:t xml:space="preserve"> </w:t>
      </w:r>
    </w:p>
    <w:p w:rsidR="00000000" w:rsidDel="00000000" w:rsidP="00000000" w:rsidRDefault="00000000" w:rsidRPr="00000000" w14:paraId="000000D0">
      <w:pPr>
        <w:rPr>
          <w:sz w:val="24"/>
          <w:szCs w:val="24"/>
        </w:rPr>
      </w:pPr>
      <w:r w:rsidDel="00000000" w:rsidR="00000000" w:rsidRPr="00000000">
        <w:rPr>
          <w:rtl w:val="0"/>
        </w:rPr>
      </w:r>
    </w:p>
    <w:sectPr>
      <w:headerReference r:id="rId27" w:type="default"/>
      <w:footerReference r:id="rId2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1">
    <w:pPr>
      <w:rPr/>
    </w:pPr>
    <w:r w:rsidDel="00000000" w:rsidR="00000000" w:rsidRPr="00000000">
      <w:rPr/>
      <w:drawing>
        <wp:inline distB="114300" distT="114300" distL="114300" distR="114300">
          <wp:extent cx="941832" cy="329641"/>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1" name="image2.png"/>
          <a:graphic>
            <a:graphicData uri="http://schemas.openxmlformats.org/drawingml/2006/picture">
              <pic:pic>
                <pic:nvPicPr>
                  <pic:cNvPr id="0" name="image2.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2">
    <w:pPr>
      <w:jc w:val="right"/>
      <w:rPr>
        <w:b w:val="1"/>
        <w:bCs w:val="1"/>
        <w:sz w:val="24"/>
        <w:szCs w:val="24"/>
      </w:rPr>
    </w:pPr>
    <w:r w:rsidDel="00000000" w:rsidR="00000000" w:rsidRPr="00000000">
      <w:rPr>
        <w:b w:val="1"/>
        <w:bCs w:val="1"/>
        <w:sz w:val="28"/>
        <w:szCs w:val="28"/>
        <w:rtl w:val="0"/>
      </w:rPr>
      <w:t xml:space="preserve">9 |</w:t>
    </w:r>
    <w:r w:rsidDel="00000000" w:rsidR="00000000" w:rsidRPr="00000000">
      <w:rPr>
        <w:b w:val="1"/>
        <w:bCs w:val="1"/>
        <w:sz w:val="24"/>
        <w:szCs w:val="24"/>
        <w:rtl w:val="0"/>
      </w:rPr>
      <w:t xml:space="preserve"> Modul 3: Gramatika</w:t>
    </w:r>
  </w:p>
  <w:p w:rsidR="00000000" w:rsidDel="00000000" w:rsidP="00000000" w:rsidRDefault="00000000" w:rsidRPr="00000000" w14:paraId="000000D3">
    <w:pPr>
      <w:jc w:val="right"/>
      <w:rPr>
        <w:i w:val="1"/>
        <w:iCs w:val="1"/>
        <w:sz w:val="24"/>
        <w:szCs w:val="24"/>
      </w:rPr>
    </w:pPr>
    <w:r w:rsidDel="00000000" w:rsidR="00000000" w:rsidRPr="00000000">
      <w:rPr>
        <w:i w:val="1"/>
        <w:iCs w:val="1"/>
        <w:sz w:val="24"/>
        <w:szCs w:val="24"/>
        <w:rtl w:val="0"/>
      </w:rPr>
      <w:t xml:space="preserve">Kod doktora</w:t>
    </w:r>
  </w:p>
  <w:p w:rsidR="00000000" w:rsidDel="00000000" w:rsidP="00000000" w:rsidRDefault="00000000" w:rsidRPr="00000000" w14:paraId="000000D4">
    <w:pPr>
      <w:jc w:val="right"/>
      <w:rPr>
        <w:i w:val="1"/>
        <w:iCs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croatian.takolako.org/wp-content/uploads/KASLJES.mp3" TargetMode="External"/><Relationship Id="rId22" Type="http://schemas.openxmlformats.org/officeDocument/2006/relationships/hyperlink" Target="https://croatian.takolako.org/wp-content/uploads/KASLJE.mp3" TargetMode="External"/><Relationship Id="rId21" Type="http://schemas.openxmlformats.org/officeDocument/2006/relationships/hyperlink" Target="https://croatian.takolako.org/wp-content/uploads/KASLJETE.mp3" TargetMode="External"/><Relationship Id="rId24" Type="http://schemas.openxmlformats.org/officeDocument/2006/relationships/image" Target="media/image4.png"/><Relationship Id="rId23" Type="http://schemas.openxmlformats.org/officeDocument/2006/relationships/hyperlink" Target="https://croatian.takolako.org/wp-content/uploads/KASLJU.mp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roatian.takolako.org/wp-content/uploads/DISETE.mp3" TargetMode="External"/><Relationship Id="rId26" Type="http://schemas.openxmlformats.org/officeDocument/2006/relationships/hyperlink" Target="https://docs.google.com/document/d/1PIEcdxbymhAeSDBDOZr6EVzKYCBW5hMupx-CcpJ98hc/edit?pli=1#heading=h.ou6sok6ab3dc" TargetMode="External"/><Relationship Id="rId25" Type="http://schemas.openxmlformats.org/officeDocument/2006/relationships/image" Target="media/image3.png"/><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croatian.takolako.org/wp-content/uploads/DISEM.mp3" TargetMode="External"/><Relationship Id="rId7" Type="http://schemas.openxmlformats.org/officeDocument/2006/relationships/hyperlink" Target="https://croatian.takolako.org/wp-content/uploads/DISEMO.mp3" TargetMode="External"/><Relationship Id="rId8" Type="http://schemas.openxmlformats.org/officeDocument/2006/relationships/hyperlink" Target="https://croatian.takolako.org/wp-content/uploads/DISES.mp3" TargetMode="External"/><Relationship Id="rId11" Type="http://schemas.openxmlformats.org/officeDocument/2006/relationships/hyperlink" Target="https://croatian.takolako.org/wp-content/uploads/DISU.mp3" TargetMode="External"/><Relationship Id="rId10" Type="http://schemas.openxmlformats.org/officeDocument/2006/relationships/hyperlink" Target="https://croatian.takolako.org/wp-content/uploads/DISE.mp3" TargetMode="External"/><Relationship Id="rId13" Type="http://schemas.openxmlformats.org/officeDocument/2006/relationships/hyperlink" Target="https://croatian.takolako.org/wp-content/uploads/KISEMO.mp3" TargetMode="External"/><Relationship Id="rId12" Type="http://schemas.openxmlformats.org/officeDocument/2006/relationships/hyperlink" Target="https://croatian.takolako.org/wp-content/uploads/KISEM.mp3" TargetMode="External"/><Relationship Id="rId15" Type="http://schemas.openxmlformats.org/officeDocument/2006/relationships/hyperlink" Target="https://croatian.takolako.org/wp-content/uploads/KISETE.mp3" TargetMode="External"/><Relationship Id="rId14" Type="http://schemas.openxmlformats.org/officeDocument/2006/relationships/hyperlink" Target="https://croatian.takolako.org/wp-content/uploads/KISES.mp3" TargetMode="External"/><Relationship Id="rId17" Type="http://schemas.openxmlformats.org/officeDocument/2006/relationships/hyperlink" Target="https://croatian.takolako.org/wp-content/uploads/KISU.mp3" TargetMode="External"/><Relationship Id="rId16" Type="http://schemas.openxmlformats.org/officeDocument/2006/relationships/hyperlink" Target="https://croatian.takolako.org/wp-content/uploads/KISE.mp3" TargetMode="External"/><Relationship Id="rId19" Type="http://schemas.openxmlformats.org/officeDocument/2006/relationships/hyperlink" Target="https://croatian.takolako.org/wp-content/uploads/KASLJEMO.mp3" TargetMode="External"/><Relationship Id="rId18" Type="http://schemas.openxmlformats.org/officeDocument/2006/relationships/hyperlink" Target="https://croatian.takolako.org/wp-content/uploads/KASLJEM.mp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