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rPr>
          <w:i w:val="1"/>
        </w:rPr>
      </w:pPr>
      <w:bookmarkStart w:colFirst="0" w:colLast="0" w:name="_b4fbolj8m4v7" w:id="0"/>
      <w:bookmarkEnd w:id="0"/>
      <w:r w:rsidDel="00000000" w:rsidR="00000000" w:rsidRPr="00000000">
        <w:rPr>
          <w:rtl w:val="0"/>
        </w:rPr>
        <w:t xml:space="preserve">6.8 - Liking tv, movies, music (and more!) - </w:t>
      </w:r>
      <w:r w:rsidDel="00000000" w:rsidR="00000000" w:rsidRPr="00000000">
        <w:rPr>
          <w:i w:val="1"/>
          <w:rtl w:val="0"/>
        </w:rPr>
        <w:t xml:space="preserve">líbit se</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spacing w:line="240" w:lineRule="auto"/>
        <w:rPr/>
      </w:pPr>
      <w:r w:rsidDel="00000000" w:rsidR="00000000" w:rsidRPr="00000000">
        <w:rPr>
          <w:rtl w:val="0"/>
        </w:rPr>
        <w:t xml:space="preserve">We’re going to encounter </w:t>
      </w:r>
      <w:r w:rsidDel="00000000" w:rsidR="00000000" w:rsidRPr="00000000">
        <w:rPr>
          <w:i w:val="1"/>
          <w:rtl w:val="0"/>
        </w:rPr>
        <w:t xml:space="preserve">líbit se</w:t>
      </w:r>
      <w:r w:rsidDel="00000000" w:rsidR="00000000" w:rsidRPr="00000000">
        <w:rPr>
          <w:rtl w:val="0"/>
        </w:rPr>
        <w:t xml:space="preserve"> again to talk about things we like (recall that we talked about liking clothes in </w:t>
      </w:r>
      <w:hyperlink r:id="rId6">
        <w:r w:rsidDel="00000000" w:rsidR="00000000" w:rsidRPr="00000000">
          <w:rPr>
            <w:color w:val="1155cc"/>
            <w:u w:val="single"/>
            <w:rtl w:val="0"/>
          </w:rPr>
          <w:t xml:space="preserve">4.9 - </w:t>
        </w:r>
      </w:hyperlink>
      <w:hyperlink r:id="rId7">
        <w:r w:rsidDel="00000000" w:rsidR="00000000" w:rsidRPr="00000000">
          <w:rPr>
            <w:i w:val="1"/>
            <w:color w:val="1155cc"/>
            <w:u w:val="single"/>
            <w:rtl w:val="0"/>
          </w:rPr>
          <w:t xml:space="preserve">líbit se</w:t>
        </w:r>
      </w:hyperlink>
      <w:hyperlink r:id="rId8">
        <w:r w:rsidDel="00000000" w:rsidR="00000000" w:rsidRPr="00000000">
          <w:rPr>
            <w:color w:val="1155cc"/>
            <w:u w:val="single"/>
            <w:rtl w:val="0"/>
          </w:rPr>
          <w:t xml:space="preserve"> - liking something</w:t>
        </w:r>
      </w:hyperlink>
      <w:r w:rsidDel="00000000" w:rsidR="00000000" w:rsidRPr="00000000">
        <w:rPr>
          <w:rtl w:val="0"/>
        </w:rPr>
        <w:t xml:space="preserve">). Recall that </w:t>
      </w:r>
      <w:r w:rsidDel="00000000" w:rsidR="00000000" w:rsidRPr="00000000">
        <w:rPr>
          <w:i w:val="1"/>
          <w:rtl w:val="0"/>
        </w:rPr>
        <w:t xml:space="preserve">líbit se</w:t>
      </w:r>
      <w:r w:rsidDel="00000000" w:rsidR="00000000" w:rsidRPr="00000000">
        <w:rPr>
          <w:rtl w:val="0"/>
        </w:rPr>
        <w:t xml:space="preserve"> is a way of saying that you like something, though not necessarily something you like it strongly. Lots of times it is used to convey impressions of something (vs. a long-standing attachment). Imagine walking out of movie theater and giving your impression of the film you just saw or expressing dislike of a song that is popular, etc.</w:t>
      </w:r>
    </w:p>
    <w:p w:rsidR="00000000" w:rsidDel="00000000" w:rsidP="00000000" w:rsidRDefault="00000000" w:rsidRPr="00000000" w14:paraId="00000004">
      <w:pPr>
        <w:pageBreakBefore w:val="0"/>
        <w:spacing w:line="240" w:lineRule="auto"/>
        <w:rPr/>
      </w:pPr>
      <w:r w:rsidDel="00000000" w:rsidR="00000000" w:rsidRPr="00000000">
        <w:rPr>
          <w:rtl w:val="0"/>
        </w:rPr>
      </w:r>
    </w:p>
    <w:p w:rsidR="00000000" w:rsidDel="00000000" w:rsidP="00000000" w:rsidRDefault="00000000" w:rsidRPr="00000000" w14:paraId="00000005">
      <w:pPr>
        <w:pStyle w:val="Subtitle"/>
        <w:pageBreakBefore w:val="0"/>
        <w:spacing w:line="240" w:lineRule="auto"/>
        <w:rPr/>
      </w:pPr>
      <w:bookmarkStart w:colFirst="0" w:colLast="0" w:name="_nn4mnejk083r" w:id="1"/>
      <w:bookmarkEnd w:id="1"/>
      <w:r w:rsidDel="00000000" w:rsidR="00000000" w:rsidRPr="00000000">
        <w:rPr>
          <w:rtl w:val="0"/>
        </w:rPr>
        <w:t xml:space="preserve">líbit se</w:t>
      </w:r>
    </w:p>
    <w:p w:rsidR="00000000" w:rsidDel="00000000" w:rsidP="00000000" w:rsidRDefault="00000000" w:rsidRPr="00000000" w14:paraId="00000006">
      <w:pPr>
        <w:pageBreakBefore w:val="0"/>
        <w:spacing w:line="240" w:lineRule="auto"/>
        <w:rPr/>
      </w:pPr>
      <w:r w:rsidDel="00000000" w:rsidR="00000000" w:rsidRPr="00000000">
        <w:rPr>
          <w:rtl w:val="0"/>
        </w:rPr>
        <w:t xml:space="preserve">First, take a look at these sentences:</w:t>
      </w:r>
    </w:p>
    <w:p w:rsidR="00000000" w:rsidDel="00000000" w:rsidP="00000000" w:rsidRDefault="00000000" w:rsidRPr="00000000" w14:paraId="00000007">
      <w:pPr>
        <w:pageBreakBefore w:val="0"/>
        <w:spacing w:line="240" w:lineRule="auto"/>
        <w:rPr/>
      </w:pPr>
      <w:r w:rsidDel="00000000" w:rsidR="00000000" w:rsidRPr="00000000">
        <w:rPr>
          <w:rtl w:val="0"/>
        </w:rPr>
      </w:r>
    </w:p>
    <w:p w:rsidR="00000000" w:rsidDel="00000000" w:rsidP="00000000" w:rsidRDefault="00000000" w:rsidRPr="00000000" w14:paraId="00000008">
      <w:pPr>
        <w:pageBreakBefore w:val="0"/>
        <w:spacing w:line="240" w:lineRule="auto"/>
        <w:ind w:left="720" w:firstLine="0"/>
        <w:rPr>
          <w:i w:val="1"/>
        </w:rPr>
      </w:pPr>
      <w:r w:rsidDel="00000000" w:rsidR="00000000" w:rsidRPr="00000000">
        <w:rPr>
          <w:i w:val="1"/>
          <w:rtl w:val="0"/>
        </w:rPr>
        <w:t xml:space="preserve">Líbí se mi ačkní filmy.</w:t>
      </w:r>
    </w:p>
    <w:p w:rsidR="00000000" w:rsidDel="00000000" w:rsidP="00000000" w:rsidRDefault="00000000" w:rsidRPr="00000000" w14:paraId="00000009">
      <w:pPr>
        <w:pageBreakBefore w:val="0"/>
        <w:spacing w:line="240" w:lineRule="auto"/>
        <w:ind w:left="720" w:firstLine="0"/>
        <w:rPr/>
      </w:pPr>
      <w:r w:rsidDel="00000000" w:rsidR="00000000" w:rsidRPr="00000000">
        <w:rPr>
          <w:rtl w:val="0"/>
        </w:rPr>
        <w:t xml:space="preserve">I like that action movies .</w:t>
      </w:r>
    </w:p>
    <w:p w:rsidR="00000000" w:rsidDel="00000000" w:rsidP="00000000" w:rsidRDefault="00000000" w:rsidRPr="00000000" w14:paraId="0000000A">
      <w:pPr>
        <w:pageBreakBefore w:val="0"/>
        <w:spacing w:line="240" w:lineRule="auto"/>
        <w:ind w:left="720" w:firstLine="0"/>
        <w:rPr/>
      </w:pPr>
      <w:r w:rsidDel="00000000" w:rsidR="00000000" w:rsidRPr="00000000">
        <w:rPr>
          <w:rtl w:val="0"/>
        </w:rPr>
      </w:r>
    </w:p>
    <w:p w:rsidR="00000000" w:rsidDel="00000000" w:rsidP="00000000" w:rsidRDefault="00000000" w:rsidRPr="00000000" w14:paraId="0000000B">
      <w:pPr>
        <w:pageBreakBefore w:val="0"/>
        <w:spacing w:line="240" w:lineRule="auto"/>
        <w:ind w:left="720" w:firstLine="0"/>
        <w:rPr>
          <w:i w:val="1"/>
        </w:rPr>
      </w:pPr>
      <w:r w:rsidDel="00000000" w:rsidR="00000000" w:rsidRPr="00000000">
        <w:rPr>
          <w:i w:val="1"/>
          <w:rtl w:val="0"/>
        </w:rPr>
        <w:t xml:space="preserve">Ten nový film se nám nelíbí.</w:t>
      </w:r>
    </w:p>
    <w:p w:rsidR="00000000" w:rsidDel="00000000" w:rsidP="00000000" w:rsidRDefault="00000000" w:rsidRPr="00000000" w14:paraId="0000000C">
      <w:pPr>
        <w:pageBreakBefore w:val="0"/>
        <w:spacing w:line="240" w:lineRule="auto"/>
        <w:ind w:left="720" w:firstLine="0"/>
        <w:rPr/>
      </w:pPr>
      <w:r w:rsidDel="00000000" w:rsidR="00000000" w:rsidRPr="00000000">
        <w:rPr>
          <w:rtl w:val="0"/>
        </w:rPr>
        <w:t xml:space="preserve">We</w:t>
      </w:r>
      <w:r w:rsidDel="00000000" w:rsidR="00000000" w:rsidRPr="00000000">
        <w:rPr>
          <w:rtl w:val="0"/>
        </w:rPr>
        <w:t xml:space="preserve"> don’t like that new movie.</w:t>
      </w:r>
    </w:p>
    <w:p w:rsidR="00000000" w:rsidDel="00000000" w:rsidP="00000000" w:rsidRDefault="00000000" w:rsidRPr="00000000" w14:paraId="0000000D">
      <w:pPr>
        <w:pageBreakBefore w:val="0"/>
        <w:spacing w:line="240" w:lineRule="auto"/>
        <w:ind w:left="720" w:firstLine="0"/>
        <w:rPr/>
      </w:pPr>
      <w:r w:rsidDel="00000000" w:rsidR="00000000" w:rsidRPr="00000000">
        <w:rPr>
          <w:rtl w:val="0"/>
        </w:rPr>
      </w:r>
    </w:p>
    <w:p w:rsidR="00000000" w:rsidDel="00000000" w:rsidP="00000000" w:rsidRDefault="00000000" w:rsidRPr="00000000" w14:paraId="0000000E">
      <w:pPr>
        <w:pageBreakBefore w:val="0"/>
        <w:spacing w:line="240" w:lineRule="auto"/>
        <w:ind w:left="720" w:firstLine="0"/>
        <w:rPr>
          <w:i w:val="1"/>
        </w:rPr>
      </w:pPr>
      <w:r w:rsidDel="00000000" w:rsidR="00000000" w:rsidRPr="00000000">
        <w:rPr>
          <w:i w:val="1"/>
          <w:rtl w:val="0"/>
        </w:rPr>
        <w:t xml:space="preserve">Nelíbí se jí ta písnička.</w:t>
      </w:r>
    </w:p>
    <w:p w:rsidR="00000000" w:rsidDel="00000000" w:rsidP="00000000" w:rsidRDefault="00000000" w:rsidRPr="00000000" w14:paraId="0000000F">
      <w:pPr>
        <w:pageBreakBefore w:val="0"/>
        <w:spacing w:line="240" w:lineRule="auto"/>
        <w:ind w:left="720" w:firstLine="0"/>
        <w:rPr/>
      </w:pPr>
      <w:r w:rsidDel="00000000" w:rsidR="00000000" w:rsidRPr="00000000">
        <w:rPr>
          <w:rtl w:val="0"/>
        </w:rPr>
        <w:t xml:space="preserve">She</w:t>
      </w:r>
      <w:r w:rsidDel="00000000" w:rsidR="00000000" w:rsidRPr="00000000">
        <w:rPr>
          <w:rtl w:val="0"/>
        </w:rPr>
        <w:t xml:space="preserve"> doesn’t like that song.</w:t>
      </w:r>
    </w:p>
    <w:p w:rsidR="00000000" w:rsidDel="00000000" w:rsidP="00000000" w:rsidRDefault="00000000" w:rsidRPr="00000000" w14:paraId="00000010">
      <w:pPr>
        <w:pageBreakBefore w:val="0"/>
        <w:spacing w:line="240" w:lineRule="auto"/>
        <w:rPr/>
      </w:pPr>
      <w:r w:rsidDel="00000000" w:rsidR="00000000" w:rsidRPr="00000000">
        <w:rPr>
          <w:rtl w:val="0"/>
        </w:rPr>
      </w:r>
    </w:p>
    <w:p w:rsidR="00000000" w:rsidDel="00000000" w:rsidP="00000000" w:rsidRDefault="00000000" w:rsidRPr="00000000" w14:paraId="00000011">
      <w:pPr>
        <w:pageBreakBefore w:val="0"/>
        <w:spacing w:line="240" w:lineRule="auto"/>
        <w:rPr/>
      </w:pPr>
      <w:r w:rsidDel="00000000" w:rsidR="00000000" w:rsidRPr="00000000">
        <w:rPr>
          <w:rtl w:val="0"/>
        </w:rPr>
        <w:t xml:space="preserve">Remember, that to understand how the verb </w:t>
      </w:r>
      <w:r w:rsidDel="00000000" w:rsidR="00000000" w:rsidRPr="00000000">
        <w:rPr>
          <w:i w:val="1"/>
          <w:rtl w:val="0"/>
        </w:rPr>
        <w:t xml:space="preserve">líbit se</w:t>
      </w:r>
      <w:r w:rsidDel="00000000" w:rsidR="00000000" w:rsidRPr="00000000">
        <w:rPr>
          <w:rtl w:val="0"/>
        </w:rPr>
        <w:t xml:space="preserve"> works, it might be easier to roughly translate it as ‘to be pleasing’.  So in the above examples, you would be literally saying ‘action movies are pleasing to me’, ‘that film is not pleasing to us’, ‘that song is not pleasing to her’.</w:t>
      </w:r>
    </w:p>
    <w:p w:rsidR="00000000" w:rsidDel="00000000" w:rsidP="00000000" w:rsidRDefault="00000000" w:rsidRPr="00000000" w14:paraId="00000012">
      <w:pPr>
        <w:pageBreakBefore w:val="0"/>
        <w:spacing w:line="240" w:lineRule="auto"/>
        <w:rPr/>
      </w:pPr>
      <w:r w:rsidDel="00000000" w:rsidR="00000000" w:rsidRPr="00000000">
        <w:rPr>
          <w:rtl w:val="0"/>
        </w:rPr>
      </w:r>
    </w:p>
    <w:p w:rsidR="00000000" w:rsidDel="00000000" w:rsidP="00000000" w:rsidRDefault="00000000" w:rsidRPr="00000000" w14:paraId="00000013">
      <w:pPr>
        <w:pageBreakBefore w:val="0"/>
        <w:spacing w:line="240" w:lineRule="auto"/>
        <w:rPr/>
      </w:pPr>
      <w:r w:rsidDel="00000000" w:rsidR="00000000" w:rsidRPr="00000000">
        <w:rPr>
          <w:rtl w:val="0"/>
        </w:rPr>
        <w:t xml:space="preserve">The thing that you like is actually the subject of the sentence (it is pleasing to me / they are pleasing to me) and this is why the ending that you see on the verb </w:t>
      </w:r>
      <w:r w:rsidDel="00000000" w:rsidR="00000000" w:rsidRPr="00000000">
        <w:rPr>
          <w:i w:val="1"/>
          <w:rtl w:val="0"/>
        </w:rPr>
        <w:t xml:space="preserve">líbit se</w:t>
      </w:r>
      <w:r w:rsidDel="00000000" w:rsidR="00000000" w:rsidRPr="00000000">
        <w:rPr>
          <w:rtl w:val="0"/>
        </w:rPr>
        <w:t xml:space="preserve"> is </w:t>
      </w:r>
      <w:r w:rsidDel="00000000" w:rsidR="00000000" w:rsidRPr="00000000">
        <w:rPr>
          <w:i w:val="1"/>
          <w:rtl w:val="0"/>
        </w:rPr>
        <w:t xml:space="preserve">-í</w:t>
      </w:r>
      <w:r w:rsidDel="00000000" w:rsidR="00000000" w:rsidRPr="00000000">
        <w:rPr>
          <w:rtl w:val="0"/>
        </w:rPr>
        <w:t xml:space="preserve"> in the examples above. You’re using the 3rd person forms, we all know the verb endings very well at this point, but just for review, compare the endings for -í- verbs:</w:t>
      </w:r>
    </w:p>
    <w:p w:rsidR="00000000" w:rsidDel="00000000" w:rsidP="00000000" w:rsidRDefault="00000000" w:rsidRPr="00000000" w14:paraId="00000014">
      <w:pPr>
        <w:pageBreakBefore w:val="0"/>
        <w:spacing w:line="240" w:lineRule="auto"/>
        <w:rPr/>
      </w:pPr>
      <w:r w:rsidDel="00000000" w:rsidR="00000000" w:rsidRPr="00000000">
        <w:rPr>
          <w:rtl w:val="0"/>
        </w:rPr>
      </w:r>
    </w:p>
    <w:tbl>
      <w:tblPr>
        <w:tblStyle w:val="Table1"/>
        <w:tblW w:w="8055.0" w:type="dxa"/>
        <w:jc w:val="left"/>
        <w:tblInd w:w="6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3.75"/>
        <w:gridCol w:w="2013.75"/>
        <w:gridCol w:w="2013.75"/>
        <w:gridCol w:w="2013.75"/>
        <w:tblGridChange w:id="0">
          <w:tblGrid>
            <w:gridCol w:w="2013.75"/>
            <w:gridCol w:w="2013.75"/>
            <w:gridCol w:w="2013.75"/>
            <w:gridCol w:w="2013.75"/>
          </w:tblGrid>
        </w:tblGridChange>
      </w:tblGrid>
      <w:tr>
        <w:trPr>
          <w:cantSplit w:val="0"/>
          <w:trHeight w:val="4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line="240" w:lineRule="auto"/>
              <w:jc w:val="center"/>
              <w:rPr>
                <w:i w:val="1"/>
                <w:strike w:val="1"/>
              </w:rPr>
            </w:pPr>
            <w:r w:rsidDel="00000000" w:rsidR="00000000" w:rsidRPr="00000000">
              <w:rPr>
                <w:i w:val="1"/>
                <w:strike w:val="1"/>
                <w:rtl w:val="0"/>
              </w:rPr>
              <w:t xml:space="preserve">(já)</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widowControl w:val="0"/>
              <w:spacing w:line="240" w:lineRule="auto"/>
              <w:jc w:val="center"/>
              <w:rPr>
                <w:b w:val="1"/>
                <w:strike w:val="1"/>
              </w:rPr>
            </w:pPr>
            <w:r w:rsidDel="00000000" w:rsidR="00000000" w:rsidRPr="00000000">
              <w:rPr>
                <w:b w:val="1"/>
                <w:strike w:val="1"/>
                <w:rtl w:val="0"/>
              </w:rPr>
              <w:t xml:space="preserve">-ím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widowControl w:val="0"/>
              <w:spacing w:line="240" w:lineRule="auto"/>
              <w:jc w:val="center"/>
              <w:rPr>
                <w:i w:val="1"/>
                <w:strike w:val="1"/>
              </w:rPr>
            </w:pPr>
            <w:r w:rsidDel="00000000" w:rsidR="00000000" w:rsidRPr="00000000">
              <w:rPr>
                <w:i w:val="1"/>
                <w:strike w:val="1"/>
                <w:rtl w:val="0"/>
              </w:rPr>
              <w:t xml:space="preserve">(my)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line="240" w:lineRule="auto"/>
              <w:jc w:val="center"/>
              <w:rPr>
                <w:strike w:val="1"/>
              </w:rPr>
            </w:pPr>
            <w:r w:rsidDel="00000000" w:rsidR="00000000" w:rsidRPr="00000000">
              <w:rPr>
                <w:b w:val="1"/>
                <w:strike w:val="1"/>
                <w:rtl w:val="0"/>
              </w:rPr>
              <w:t xml:space="preserve"> -íme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widowControl w:val="0"/>
              <w:spacing w:line="240" w:lineRule="auto"/>
              <w:jc w:val="center"/>
              <w:rPr>
                <w:i w:val="1"/>
                <w:strike w:val="1"/>
              </w:rPr>
            </w:pPr>
            <w:r w:rsidDel="00000000" w:rsidR="00000000" w:rsidRPr="00000000">
              <w:rPr>
                <w:i w:val="1"/>
                <w:strike w:val="1"/>
                <w:rtl w:val="0"/>
              </w:rPr>
              <w:t xml:space="preserv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spacing w:line="240" w:lineRule="auto"/>
              <w:jc w:val="center"/>
              <w:rPr>
                <w:strike w:val="1"/>
              </w:rPr>
            </w:pPr>
            <w:r w:rsidDel="00000000" w:rsidR="00000000" w:rsidRPr="00000000">
              <w:rPr>
                <w:b w:val="1"/>
                <w:strike w:val="1"/>
                <w:rtl w:val="0"/>
              </w:rPr>
              <w:t xml:space="preserve">-íš</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spacing w:line="240" w:lineRule="auto"/>
              <w:jc w:val="center"/>
              <w:rPr>
                <w:i w:val="1"/>
                <w:strike w:val="1"/>
              </w:rPr>
            </w:pPr>
            <w:r w:rsidDel="00000000" w:rsidR="00000000" w:rsidRPr="00000000">
              <w:rPr>
                <w:i w:val="1"/>
                <w:strike w:val="1"/>
                <w:rtl w:val="0"/>
              </w:rPr>
              <w:t xml:space="preserve">(vy)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pacing w:line="240" w:lineRule="auto"/>
              <w:jc w:val="center"/>
              <w:rPr>
                <w:strike w:val="1"/>
              </w:rPr>
            </w:pPr>
            <w:r w:rsidDel="00000000" w:rsidR="00000000" w:rsidRPr="00000000">
              <w:rPr>
                <w:b w:val="1"/>
                <w:strike w:val="1"/>
                <w:rtl w:val="0"/>
              </w:rPr>
              <w:t xml:space="preserve">-íte</w:t>
            </w:r>
            <w:r w:rsidDel="00000000" w:rsidR="00000000" w:rsidRPr="00000000">
              <w:rPr>
                <w:rtl w:val="0"/>
              </w:rPr>
            </w:r>
          </w:p>
        </w:tc>
      </w:tr>
      <w:tr>
        <w:trPr>
          <w:cantSplit w:val="0"/>
          <w:tblHeader w:val="0"/>
        </w:trPr>
        <w:tc>
          <w:tcPr>
            <w:shd w:fill="00ffff"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240" w:lineRule="auto"/>
              <w:jc w:val="center"/>
              <w:rPr>
                <w:i w:val="1"/>
              </w:rPr>
            </w:pPr>
            <w:r w:rsidDel="00000000" w:rsidR="00000000" w:rsidRPr="00000000">
              <w:rPr>
                <w:i w:val="1"/>
                <w:rtl w:val="0"/>
              </w:rPr>
              <w:t xml:space="preserve">(on/ona/ono)</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240" w:lineRule="auto"/>
              <w:jc w:val="center"/>
              <w:rPr/>
            </w:pPr>
            <w:r w:rsidDel="00000000" w:rsidR="00000000" w:rsidRPr="00000000">
              <w:rPr>
                <w:b w:val="1"/>
                <w:rtl w:val="0"/>
              </w:rPr>
              <w:t xml:space="preserve">-í</w:t>
            </w:r>
            <w:r w:rsidDel="00000000" w:rsidR="00000000" w:rsidRPr="00000000">
              <w:rPr>
                <w:rtl w:val="0"/>
              </w:rPr>
            </w:r>
          </w:p>
        </w:tc>
        <w:tc>
          <w:tcPr>
            <w:shd w:fill="00ffff"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spacing w:line="240" w:lineRule="auto"/>
              <w:jc w:val="center"/>
              <w:rPr>
                <w:i w:val="1"/>
              </w:rPr>
            </w:pPr>
            <w:r w:rsidDel="00000000" w:rsidR="00000000" w:rsidRPr="00000000">
              <w:rPr>
                <w:i w:val="1"/>
                <w:rtl w:val="0"/>
              </w:rPr>
              <w:t xml:space="preserve">(oni/ony/ona)</w:t>
            </w:r>
          </w:p>
        </w:tc>
        <w:tc>
          <w:tcPr>
            <w:shd w:fill="00ffff"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jc w:val="center"/>
              <w:rPr/>
            </w:pPr>
            <w:r w:rsidDel="00000000" w:rsidR="00000000" w:rsidRPr="00000000">
              <w:rPr>
                <w:b w:val="1"/>
                <w:rtl w:val="0"/>
              </w:rPr>
              <w:t xml:space="preserve">-í</w:t>
            </w:r>
            <w:r w:rsidDel="00000000" w:rsidR="00000000" w:rsidRPr="00000000">
              <w:rPr>
                <w:rtl w:val="0"/>
              </w:rPr>
            </w:r>
          </w:p>
        </w:tc>
      </w:tr>
    </w:tbl>
    <w:p w:rsidR="00000000" w:rsidDel="00000000" w:rsidP="00000000" w:rsidRDefault="00000000" w:rsidRPr="00000000" w14:paraId="00000021">
      <w:pPr>
        <w:pageBreakBefore w:val="0"/>
        <w:spacing w:line="240" w:lineRule="auto"/>
        <w:rPr/>
      </w:pPr>
      <w:r w:rsidDel="00000000" w:rsidR="00000000" w:rsidRPr="00000000">
        <w:rPr>
          <w:rtl w:val="0"/>
        </w:rPr>
      </w:r>
    </w:p>
    <w:p w:rsidR="00000000" w:rsidDel="00000000" w:rsidP="00000000" w:rsidRDefault="00000000" w:rsidRPr="00000000" w14:paraId="00000022">
      <w:pPr>
        <w:pageBreakBefore w:val="0"/>
        <w:spacing w:line="240" w:lineRule="auto"/>
        <w:rPr/>
      </w:pPr>
      <w:r w:rsidDel="00000000" w:rsidR="00000000" w:rsidRPr="00000000">
        <w:rPr>
          <w:rtl w:val="0"/>
        </w:rPr>
      </w:r>
    </w:p>
    <w:p w:rsidR="00000000" w:rsidDel="00000000" w:rsidP="00000000" w:rsidRDefault="00000000" w:rsidRPr="00000000" w14:paraId="00000023">
      <w:pPr>
        <w:pageBreakBefore w:val="0"/>
        <w:spacing w:line="240" w:lineRule="auto"/>
        <w:rPr/>
      </w:pPr>
      <w:r w:rsidDel="00000000" w:rsidR="00000000" w:rsidRPr="00000000">
        <w:rPr>
          <w:rtl w:val="0"/>
        </w:rPr>
        <w:t xml:space="preserve">Ok, so the thing you like (is pleasing to you) is the subject of the sentence, so how do you express who likes it (i.e. </w:t>
      </w:r>
      <w:r w:rsidDel="00000000" w:rsidR="00000000" w:rsidRPr="00000000">
        <w:rPr>
          <w:b w:val="1"/>
          <w:rtl w:val="0"/>
        </w:rPr>
        <w:t xml:space="preserve">to whom</w:t>
      </w:r>
      <w:r w:rsidDel="00000000" w:rsidR="00000000" w:rsidRPr="00000000">
        <w:rPr>
          <w:rtl w:val="0"/>
        </w:rPr>
        <w:t xml:space="preserve"> it is pleasing)? As before, we’ll need the dative case. Just a reminder, the dative case is used for the indirect object (</w:t>
      </w:r>
      <w:r w:rsidDel="00000000" w:rsidR="00000000" w:rsidRPr="00000000">
        <w:rPr>
          <w:i w:val="1"/>
          <w:rtl w:val="0"/>
        </w:rPr>
        <w:t xml:space="preserve">I gave a present </w:t>
      </w:r>
      <w:r w:rsidDel="00000000" w:rsidR="00000000" w:rsidRPr="00000000">
        <w:rPr>
          <w:b w:val="1"/>
          <w:i w:val="1"/>
          <w:rtl w:val="0"/>
        </w:rPr>
        <w:t xml:space="preserve">to Jan</w:t>
      </w:r>
      <w:r w:rsidDel="00000000" w:rsidR="00000000" w:rsidRPr="00000000">
        <w:rPr>
          <w:rtl w:val="0"/>
        </w:rPr>
        <w:t xml:space="preserve">, </w:t>
      </w:r>
      <w:r w:rsidDel="00000000" w:rsidR="00000000" w:rsidRPr="00000000">
        <w:rPr>
          <w:i w:val="1"/>
          <w:rtl w:val="0"/>
        </w:rPr>
        <w:t xml:space="preserve">I said something </w:t>
      </w:r>
      <w:r w:rsidDel="00000000" w:rsidR="00000000" w:rsidRPr="00000000">
        <w:rPr>
          <w:b w:val="1"/>
          <w:i w:val="1"/>
          <w:rtl w:val="0"/>
        </w:rPr>
        <w:t xml:space="preserve">to Helena</w:t>
      </w:r>
      <w:r w:rsidDel="00000000" w:rsidR="00000000" w:rsidRPr="00000000">
        <w:rPr>
          <w:rtl w:val="0"/>
        </w:rPr>
        <w:t xml:space="preserve">). Take a look at the </w:t>
      </w:r>
      <w:hyperlink r:id="rId9">
        <w:r w:rsidDel="00000000" w:rsidR="00000000" w:rsidRPr="00000000">
          <w:rPr>
            <w:color w:val="1155cc"/>
            <w:u w:val="single"/>
            <w:rtl w:val="0"/>
          </w:rPr>
          <w:t xml:space="preserve">concept of case lesson</w:t>
        </w:r>
      </w:hyperlink>
      <w:r w:rsidDel="00000000" w:rsidR="00000000" w:rsidRPr="00000000">
        <w:rPr>
          <w:rtl w:val="0"/>
        </w:rPr>
        <w:t xml:space="preserve"> if you need a refresher.</w:t>
      </w:r>
    </w:p>
    <w:p w:rsidR="00000000" w:rsidDel="00000000" w:rsidP="00000000" w:rsidRDefault="00000000" w:rsidRPr="00000000" w14:paraId="00000024">
      <w:pPr>
        <w:pageBreakBefore w:val="0"/>
        <w:spacing w:line="240" w:lineRule="auto"/>
        <w:rPr/>
      </w:pPr>
      <w:r w:rsidDel="00000000" w:rsidR="00000000" w:rsidRPr="00000000">
        <w:rPr>
          <w:rtl w:val="0"/>
        </w:rPr>
      </w:r>
    </w:p>
    <w:tbl>
      <w:tblPr>
        <w:tblStyle w:val="Table2"/>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2490"/>
        <w:gridCol w:w="4125"/>
        <w:tblGridChange w:id="0">
          <w:tblGrid>
            <w:gridCol w:w="2025"/>
            <w:gridCol w:w="2490"/>
            <w:gridCol w:w="4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widowControl w:val="0"/>
              <w:spacing w:line="240" w:lineRule="auto"/>
              <w:jc w:val="center"/>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widowControl w:val="0"/>
              <w:spacing w:line="240" w:lineRule="auto"/>
              <w:jc w:val="center"/>
              <w:rPr>
                <w:b w:val="1"/>
              </w:rPr>
            </w:pPr>
            <w:r w:rsidDel="00000000" w:rsidR="00000000" w:rsidRPr="00000000">
              <w:rPr>
                <w:b w:val="1"/>
                <w:rtl w:val="0"/>
              </w:rPr>
              <w:t xml:space="preserve">MA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jc w:val="center"/>
              <w:rPr>
                <w:b w:val="1"/>
              </w:rPr>
            </w:pPr>
            <w:r w:rsidDel="00000000" w:rsidR="00000000" w:rsidRPr="00000000">
              <w:rPr>
                <w:b w:val="1"/>
                <w:rtl w:val="0"/>
              </w:rPr>
              <w:t xml:space="preserve">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widowControl w:val="0"/>
              <w:spacing w:line="240" w:lineRule="auto"/>
              <w:jc w:val="center"/>
              <w:rPr>
                <w:b w:val="1"/>
              </w:rPr>
            </w:pPr>
            <w:r w:rsidDel="00000000" w:rsidR="00000000" w:rsidRPr="00000000">
              <w:rPr>
                <w:b w:val="1"/>
                <w:rtl w:val="0"/>
              </w:rPr>
              <w:t xml:space="preserve">Hard 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pageBreakBefore w:val="0"/>
              <w:widowControl w:val="0"/>
              <w:spacing w:line="240" w:lineRule="auto"/>
              <w:jc w:val="center"/>
              <w:rPr>
                <w:i w:val="1"/>
              </w:rPr>
            </w:pPr>
            <w:r w:rsidDel="00000000" w:rsidR="00000000" w:rsidRPr="00000000">
              <w:rPr>
                <w:i w:val="1"/>
                <w:rtl w:val="0"/>
              </w:rPr>
              <w:t xml:space="preserve">-ovi</w:t>
            </w:r>
          </w:p>
          <w:p w:rsidR="00000000" w:rsidDel="00000000" w:rsidP="00000000" w:rsidRDefault="00000000" w:rsidRPr="00000000" w14:paraId="0000002A">
            <w:pPr>
              <w:pageBreakBefore w:val="0"/>
              <w:widowControl w:val="0"/>
              <w:spacing w:line="240" w:lineRule="auto"/>
              <w:jc w:val="center"/>
              <w:rPr>
                <w:i w:val="1"/>
              </w:rPr>
            </w:pPr>
            <w:r w:rsidDel="00000000" w:rsidR="00000000" w:rsidRPr="00000000">
              <w:rPr>
                <w:rFonts w:ascii="Arial Unicode MS" w:cs="Arial Unicode MS" w:eastAsia="Arial Unicode MS" w:hAnsi="Arial Unicode MS"/>
                <w:i w:val="1"/>
                <w:rtl w:val="0"/>
              </w:rPr>
              <w:t xml:space="preserve">Jan → Janovi</w:t>
            </w:r>
          </w:p>
          <w:p w:rsidR="00000000" w:rsidDel="00000000" w:rsidP="00000000" w:rsidRDefault="00000000" w:rsidRPr="00000000" w14:paraId="0000002B">
            <w:pPr>
              <w:pageBreakBefore w:val="0"/>
              <w:widowControl w:val="0"/>
              <w:spacing w:line="240" w:lineRule="auto"/>
              <w:jc w:val="center"/>
              <w:rPr>
                <w:i w:val="1"/>
              </w:rPr>
            </w:pPr>
            <w:r w:rsidDel="00000000" w:rsidR="00000000" w:rsidRPr="00000000">
              <w:rPr>
                <w:rFonts w:ascii="Arial Unicode MS" w:cs="Arial Unicode MS" w:eastAsia="Arial Unicode MS" w:hAnsi="Arial Unicode MS"/>
                <w:i w:val="1"/>
                <w:rtl w:val="0"/>
              </w:rPr>
              <w:t xml:space="preserve">Petr → Petrovi</w:t>
            </w:r>
          </w:p>
          <w:p w:rsidR="00000000" w:rsidDel="00000000" w:rsidP="00000000" w:rsidRDefault="00000000" w:rsidRPr="00000000" w14:paraId="0000002C">
            <w:pPr>
              <w:pageBreakBefore w:val="0"/>
              <w:widowControl w:val="0"/>
              <w:spacing w:line="240" w:lineRule="auto"/>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jc w:val="center"/>
              <w:rPr/>
            </w:pPr>
            <w:r w:rsidDel="00000000" w:rsidR="00000000" w:rsidRPr="00000000">
              <w:rPr>
                <w:rtl w:val="0"/>
              </w:rPr>
              <w:t xml:space="preserve">-e / -ě</w:t>
            </w:r>
          </w:p>
          <w:p w:rsidR="00000000" w:rsidDel="00000000" w:rsidP="00000000" w:rsidRDefault="00000000" w:rsidRPr="00000000" w14:paraId="0000002E">
            <w:pPr>
              <w:pageBreakBefore w:val="0"/>
              <w:widowControl w:val="0"/>
              <w:spacing w:line="240" w:lineRule="auto"/>
              <w:jc w:val="center"/>
              <w:rPr/>
            </w:pPr>
            <w:r w:rsidDel="00000000" w:rsidR="00000000" w:rsidRPr="00000000">
              <w:rPr>
                <w:rtl w:val="0"/>
              </w:rPr>
            </w:r>
          </w:p>
          <w:p w:rsidR="00000000" w:rsidDel="00000000" w:rsidP="00000000" w:rsidRDefault="00000000" w:rsidRPr="00000000" w14:paraId="0000002F">
            <w:pPr>
              <w:pageBreakBefore w:val="0"/>
              <w:widowControl w:val="0"/>
              <w:spacing w:line="240" w:lineRule="auto"/>
              <w:jc w:val="center"/>
              <w:rPr>
                <w:i w:val="1"/>
              </w:rPr>
            </w:pPr>
            <w:r w:rsidDel="00000000" w:rsidR="00000000" w:rsidRPr="00000000">
              <w:rPr>
                <w:i w:val="1"/>
                <w:rtl w:val="0"/>
              </w:rPr>
              <w:t xml:space="preserve">Aneta → Anetě</w:t>
            </w:r>
          </w:p>
          <w:p w:rsidR="00000000" w:rsidDel="00000000" w:rsidP="00000000" w:rsidRDefault="00000000" w:rsidRPr="00000000" w14:paraId="00000030">
            <w:pPr>
              <w:pageBreakBefore w:val="0"/>
              <w:widowControl w:val="0"/>
              <w:spacing w:line="240" w:lineRule="auto"/>
              <w:jc w:val="center"/>
              <w:rPr>
                <w:i w:val="1"/>
              </w:rPr>
            </w:pPr>
            <w:r w:rsidDel="00000000" w:rsidR="00000000" w:rsidRPr="00000000">
              <w:rPr>
                <w:i w:val="1"/>
                <w:rtl w:val="0"/>
              </w:rPr>
              <w:t xml:space="preserve">Karolína → Karolíně</w:t>
            </w:r>
          </w:p>
          <w:p w:rsidR="00000000" w:rsidDel="00000000" w:rsidP="00000000" w:rsidRDefault="00000000" w:rsidRPr="00000000" w14:paraId="00000031">
            <w:pPr>
              <w:pageBreakBefore w:val="0"/>
              <w:widowControl w:val="0"/>
              <w:spacing w:line="240" w:lineRule="auto"/>
              <w:jc w:val="center"/>
              <w:rPr/>
            </w:pPr>
            <w:r w:rsidDel="00000000" w:rsidR="00000000" w:rsidRPr="00000000">
              <w:rPr>
                <w:rtl w:val="0"/>
              </w:rPr>
            </w:r>
          </w:p>
          <w:p w:rsidR="00000000" w:rsidDel="00000000" w:rsidP="00000000" w:rsidRDefault="00000000" w:rsidRPr="00000000" w14:paraId="00000032">
            <w:pPr>
              <w:pageBreakBefore w:val="0"/>
              <w:widowControl w:val="0"/>
              <w:spacing w:line="240" w:lineRule="auto"/>
              <w:jc w:val="center"/>
              <w:rPr/>
            </w:pPr>
            <w:r w:rsidDel="00000000" w:rsidR="00000000" w:rsidRPr="00000000">
              <w:rPr>
                <w:rtl w:val="0"/>
              </w:rPr>
            </w:r>
          </w:p>
          <w:p w:rsidR="00000000" w:rsidDel="00000000" w:rsidP="00000000" w:rsidRDefault="00000000" w:rsidRPr="00000000" w14:paraId="00000033">
            <w:pPr>
              <w:pageBreakBefore w:val="0"/>
              <w:spacing w:line="240" w:lineRule="auto"/>
              <w:rPr/>
            </w:pPr>
            <w:r w:rsidDel="00000000" w:rsidR="00000000" w:rsidRPr="00000000">
              <w:rPr>
                <w:b w:val="1"/>
                <w:rtl w:val="0"/>
              </w:rPr>
              <w:t xml:space="preserve">sound changes:</w:t>
            </w:r>
            <w:r w:rsidDel="00000000" w:rsidR="00000000" w:rsidRPr="00000000">
              <w:rPr>
                <w:rtl w:val="0"/>
              </w:rPr>
              <w:t xml:space="preserve"> </w:t>
            </w:r>
            <w:r w:rsidDel="00000000" w:rsidR="00000000" w:rsidRPr="00000000">
              <w:rPr>
                <w:i w:val="1"/>
                <w:rtl w:val="0"/>
              </w:rPr>
              <w:t xml:space="preserve">k → c, r → ř </w:t>
            </w:r>
            <w:r w:rsidDel="00000000" w:rsidR="00000000" w:rsidRPr="00000000">
              <w:rPr>
                <w:rtl w:val="0"/>
              </w:rPr>
              <w:t xml:space="preserve">(also </w:t>
            </w:r>
            <w:r w:rsidDel="00000000" w:rsidR="00000000" w:rsidRPr="00000000">
              <w:rPr>
                <w:i w:val="1"/>
                <w:rtl w:val="0"/>
              </w:rPr>
              <w:t xml:space="preserve">h → z, ch → š</w:t>
            </w:r>
            <w:r w:rsidDel="00000000" w:rsidR="00000000" w:rsidRPr="00000000">
              <w:rPr>
                <w:rtl w:val="0"/>
              </w:rPr>
              <w:t xml:space="preserve">, but those are less common in names so won’t be important here). </w:t>
            </w:r>
          </w:p>
          <w:p w:rsidR="00000000" w:rsidDel="00000000" w:rsidP="00000000" w:rsidRDefault="00000000" w:rsidRPr="00000000" w14:paraId="00000034">
            <w:pPr>
              <w:pageBreakBefore w:val="0"/>
              <w:spacing w:line="240" w:lineRule="auto"/>
              <w:rPr/>
            </w:pPr>
            <w:r w:rsidDel="00000000" w:rsidR="00000000" w:rsidRPr="00000000">
              <w:rPr>
                <w:rtl w:val="0"/>
              </w:rPr>
            </w:r>
          </w:p>
          <w:p w:rsidR="00000000" w:rsidDel="00000000" w:rsidP="00000000" w:rsidRDefault="00000000" w:rsidRPr="00000000" w14:paraId="00000035">
            <w:pPr>
              <w:pageBreakBefore w:val="0"/>
              <w:spacing w:line="240" w:lineRule="auto"/>
              <w:rPr>
                <w:b w:val="1"/>
              </w:rPr>
            </w:pPr>
            <w:r w:rsidDel="00000000" w:rsidR="00000000" w:rsidRPr="00000000">
              <w:rPr>
                <w:b w:val="1"/>
                <w:rtl w:val="0"/>
              </w:rPr>
              <w:t xml:space="preserve">Some examples:</w:t>
            </w:r>
          </w:p>
          <w:p w:rsidR="00000000" w:rsidDel="00000000" w:rsidP="00000000" w:rsidRDefault="00000000" w:rsidRPr="00000000" w14:paraId="00000036">
            <w:pPr>
              <w:pageBreakBefore w:val="0"/>
              <w:spacing w:line="240" w:lineRule="auto"/>
              <w:jc w:val="center"/>
              <w:rPr>
                <w:i w:val="1"/>
              </w:rPr>
            </w:pPr>
            <w:r w:rsidDel="00000000" w:rsidR="00000000" w:rsidRPr="00000000">
              <w:rPr>
                <w:rFonts w:ascii="Arial Unicode MS" w:cs="Arial Unicode MS" w:eastAsia="Arial Unicode MS" w:hAnsi="Arial Unicode MS"/>
                <w:i w:val="1"/>
                <w:rtl w:val="0"/>
              </w:rPr>
              <w:t xml:space="preserve">Veronika →</w:t>
            </w:r>
            <w:r w:rsidDel="00000000" w:rsidR="00000000" w:rsidRPr="00000000">
              <w:rPr>
                <w:rtl w:val="0"/>
              </w:rPr>
              <w:t xml:space="preserve"> </w:t>
            </w:r>
            <w:r w:rsidDel="00000000" w:rsidR="00000000" w:rsidRPr="00000000">
              <w:rPr>
                <w:i w:val="1"/>
                <w:rtl w:val="0"/>
              </w:rPr>
              <w:t xml:space="preserve">Veronice</w:t>
            </w:r>
          </w:p>
          <w:p w:rsidR="00000000" w:rsidDel="00000000" w:rsidP="00000000" w:rsidRDefault="00000000" w:rsidRPr="00000000" w14:paraId="00000037">
            <w:pPr>
              <w:pageBreakBefore w:val="0"/>
              <w:spacing w:line="240" w:lineRule="auto"/>
              <w:jc w:val="center"/>
              <w:rPr>
                <w:i w:val="1"/>
              </w:rPr>
            </w:pPr>
            <w:r w:rsidDel="00000000" w:rsidR="00000000" w:rsidRPr="00000000">
              <w:rPr>
                <w:rFonts w:ascii="Arial Unicode MS" w:cs="Arial Unicode MS" w:eastAsia="Arial Unicode MS" w:hAnsi="Arial Unicode MS"/>
                <w:i w:val="1"/>
                <w:rtl w:val="0"/>
              </w:rPr>
              <w:t xml:space="preserve">Sára →</w:t>
            </w:r>
            <w:r w:rsidDel="00000000" w:rsidR="00000000" w:rsidRPr="00000000">
              <w:rPr>
                <w:rtl w:val="0"/>
              </w:rPr>
              <w:t xml:space="preserve"> </w:t>
            </w:r>
            <w:r w:rsidDel="00000000" w:rsidR="00000000" w:rsidRPr="00000000">
              <w:rPr>
                <w:i w:val="1"/>
                <w:rtl w:val="0"/>
              </w:rPr>
              <w:t xml:space="preserve">Sáře</w:t>
            </w:r>
          </w:p>
          <w:p w:rsidR="00000000" w:rsidDel="00000000" w:rsidP="00000000" w:rsidRDefault="00000000" w:rsidRPr="00000000" w14:paraId="00000038">
            <w:pPr>
              <w:pageBreakBefore w:val="0"/>
              <w:spacing w:line="240" w:lineRule="auto"/>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spacing w:line="240" w:lineRule="auto"/>
              <w:jc w:val="center"/>
              <w:rPr>
                <w:b w:val="1"/>
              </w:rPr>
            </w:pPr>
            <w:r w:rsidDel="00000000" w:rsidR="00000000" w:rsidRPr="00000000">
              <w:rPr>
                <w:b w:val="1"/>
                <w:rtl w:val="0"/>
              </w:rPr>
              <w:t xml:space="preserve">Soft 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widowControl w:val="0"/>
              <w:spacing w:line="240" w:lineRule="auto"/>
              <w:jc w:val="center"/>
              <w:rPr>
                <w:i w:val="1"/>
              </w:rPr>
            </w:pPr>
            <w:r w:rsidDel="00000000" w:rsidR="00000000" w:rsidRPr="00000000">
              <w:rPr>
                <w:i w:val="1"/>
                <w:rtl w:val="0"/>
              </w:rPr>
              <w:t xml:space="preserve">-ovi</w:t>
            </w:r>
          </w:p>
          <w:p w:rsidR="00000000" w:rsidDel="00000000" w:rsidP="00000000" w:rsidRDefault="00000000" w:rsidRPr="00000000" w14:paraId="0000003B">
            <w:pPr>
              <w:pageBreakBefore w:val="0"/>
              <w:widowControl w:val="0"/>
              <w:spacing w:line="240" w:lineRule="auto"/>
              <w:jc w:val="center"/>
              <w:rPr>
                <w:i w:val="1"/>
              </w:rPr>
            </w:pPr>
            <w:r w:rsidDel="00000000" w:rsidR="00000000" w:rsidRPr="00000000">
              <w:rPr>
                <w:i w:val="1"/>
                <w:rtl w:val="0"/>
              </w:rPr>
              <w:t xml:space="preserve">Lukáš → Lukášovi</w:t>
            </w:r>
          </w:p>
          <w:p w:rsidR="00000000" w:rsidDel="00000000" w:rsidP="00000000" w:rsidRDefault="00000000" w:rsidRPr="00000000" w14:paraId="0000003C">
            <w:pPr>
              <w:pageBreakBefore w:val="0"/>
              <w:widowControl w:val="0"/>
              <w:spacing w:line="240" w:lineRule="auto"/>
              <w:jc w:val="center"/>
              <w:rPr>
                <w:i w:val="1"/>
              </w:rPr>
            </w:pPr>
            <w:r w:rsidDel="00000000" w:rsidR="00000000" w:rsidRPr="00000000">
              <w:rPr>
                <w:i w:val="1"/>
                <w:rtl w:val="0"/>
              </w:rPr>
              <w:t xml:space="preserve">Tomáš → Tomášovi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widowControl w:val="0"/>
              <w:spacing w:line="240" w:lineRule="auto"/>
              <w:jc w:val="center"/>
              <w:rPr/>
            </w:pPr>
            <w:r w:rsidDel="00000000" w:rsidR="00000000" w:rsidRPr="00000000">
              <w:rPr>
                <w:rtl w:val="0"/>
              </w:rPr>
              <w:t xml:space="preserve">-i</w:t>
            </w:r>
          </w:p>
          <w:p w:rsidR="00000000" w:rsidDel="00000000" w:rsidP="00000000" w:rsidRDefault="00000000" w:rsidRPr="00000000" w14:paraId="0000003E">
            <w:pPr>
              <w:pageBreakBefore w:val="0"/>
              <w:widowControl w:val="0"/>
              <w:spacing w:line="240" w:lineRule="auto"/>
              <w:jc w:val="center"/>
              <w:rPr>
                <w:i w:val="1"/>
              </w:rPr>
            </w:pPr>
            <w:r w:rsidDel="00000000" w:rsidR="00000000" w:rsidRPr="00000000">
              <w:rPr>
                <w:rFonts w:ascii="Arial Unicode MS" w:cs="Arial Unicode MS" w:eastAsia="Arial Unicode MS" w:hAnsi="Arial Unicode MS"/>
                <w:i w:val="1"/>
                <w:rtl w:val="0"/>
              </w:rPr>
              <w:t xml:space="preserve">Lucie → Lucii</w:t>
            </w:r>
          </w:p>
          <w:p w:rsidR="00000000" w:rsidDel="00000000" w:rsidP="00000000" w:rsidRDefault="00000000" w:rsidRPr="00000000" w14:paraId="0000003F">
            <w:pPr>
              <w:pageBreakBefore w:val="0"/>
              <w:widowControl w:val="0"/>
              <w:spacing w:line="240" w:lineRule="auto"/>
              <w:jc w:val="center"/>
              <w:rPr>
                <w:i w:val="1"/>
              </w:rPr>
            </w:pPr>
            <w:r w:rsidDel="00000000" w:rsidR="00000000" w:rsidRPr="00000000">
              <w:rPr>
                <w:rFonts w:ascii="Arial Unicode MS" w:cs="Arial Unicode MS" w:eastAsia="Arial Unicode MS" w:hAnsi="Arial Unicode MS"/>
                <w:i w:val="1"/>
                <w:rtl w:val="0"/>
              </w:rPr>
              <w:t xml:space="preserve">Marie → Marii</w:t>
            </w:r>
          </w:p>
        </w:tc>
      </w:tr>
    </w:tbl>
    <w:p w:rsidR="00000000" w:rsidDel="00000000" w:rsidP="00000000" w:rsidRDefault="00000000" w:rsidRPr="00000000" w14:paraId="00000040">
      <w:pPr>
        <w:pageBreakBefore w:val="0"/>
        <w:spacing w:line="240" w:lineRule="auto"/>
        <w:rPr/>
      </w:pPr>
      <w:r w:rsidDel="00000000" w:rsidR="00000000" w:rsidRPr="00000000">
        <w:rPr>
          <w:rtl w:val="0"/>
        </w:rPr>
      </w:r>
    </w:p>
    <w:p w:rsidR="00000000" w:rsidDel="00000000" w:rsidP="00000000" w:rsidRDefault="00000000" w:rsidRPr="00000000" w14:paraId="00000041">
      <w:pPr>
        <w:pageBreakBefore w:val="0"/>
        <w:spacing w:line="240" w:lineRule="auto"/>
        <w:rPr/>
      </w:pPr>
      <w:r w:rsidDel="00000000" w:rsidR="00000000" w:rsidRPr="00000000">
        <w:rPr>
          <w:rtl w:val="0"/>
        </w:rPr>
        <w:t xml:space="preserve">So for Masculine Animate the ending is </w:t>
      </w:r>
      <w:r w:rsidDel="00000000" w:rsidR="00000000" w:rsidRPr="00000000">
        <w:rPr>
          <w:i w:val="1"/>
          <w:rtl w:val="0"/>
        </w:rPr>
        <w:t xml:space="preserve">-ovi</w:t>
      </w:r>
      <w:r w:rsidDel="00000000" w:rsidR="00000000" w:rsidRPr="00000000">
        <w:rPr>
          <w:rtl w:val="0"/>
        </w:rPr>
        <w:t xml:space="preserve"> regardless of whether it’s hard or soft, while for Feminine it’s -e/-ě</w:t>
      </w:r>
    </w:p>
    <w:p w:rsidR="00000000" w:rsidDel="00000000" w:rsidP="00000000" w:rsidRDefault="00000000" w:rsidRPr="00000000" w14:paraId="00000042">
      <w:pPr>
        <w:pageBreakBefore w:val="0"/>
        <w:spacing w:line="240" w:lineRule="auto"/>
        <w:rPr/>
      </w:pPr>
      <w:r w:rsidDel="00000000" w:rsidR="00000000" w:rsidRPr="00000000">
        <w:rPr>
          <w:rtl w:val="0"/>
        </w:rPr>
      </w:r>
    </w:p>
    <w:p w:rsidR="00000000" w:rsidDel="00000000" w:rsidP="00000000" w:rsidRDefault="00000000" w:rsidRPr="00000000" w14:paraId="00000043">
      <w:pPr>
        <w:pageBreakBefore w:val="0"/>
        <w:spacing w:line="240" w:lineRule="auto"/>
        <w:rPr/>
      </w:pPr>
      <w:r w:rsidDel="00000000" w:rsidR="00000000" w:rsidRPr="00000000">
        <w:rPr>
          <w:rtl w:val="0"/>
        </w:rPr>
        <w:t xml:space="preserve">Let’s take a look at some examples:</w:t>
      </w:r>
    </w:p>
    <w:p w:rsidR="00000000" w:rsidDel="00000000" w:rsidP="00000000" w:rsidRDefault="00000000" w:rsidRPr="00000000" w14:paraId="00000044">
      <w:pPr>
        <w:pageBreakBefore w:val="0"/>
        <w:spacing w:line="240" w:lineRule="auto"/>
        <w:rPr/>
      </w:pPr>
      <w:r w:rsidDel="00000000" w:rsidR="00000000" w:rsidRPr="00000000">
        <w:rPr>
          <w:rtl w:val="0"/>
        </w:rPr>
      </w:r>
    </w:p>
    <w:p w:rsidR="00000000" w:rsidDel="00000000" w:rsidP="00000000" w:rsidRDefault="00000000" w:rsidRPr="00000000" w14:paraId="00000045">
      <w:pPr>
        <w:pageBreakBefore w:val="0"/>
        <w:spacing w:line="240" w:lineRule="auto"/>
        <w:ind w:left="720" w:firstLine="0"/>
        <w:rPr>
          <w:i w:val="1"/>
        </w:rPr>
      </w:pPr>
      <w:r w:rsidDel="00000000" w:rsidR="00000000" w:rsidRPr="00000000">
        <w:rPr>
          <w:i w:val="1"/>
          <w:rtl w:val="0"/>
        </w:rPr>
        <w:t xml:space="preserve">Haně se ta písnička líbí .</w:t>
      </w:r>
    </w:p>
    <w:p w:rsidR="00000000" w:rsidDel="00000000" w:rsidP="00000000" w:rsidRDefault="00000000" w:rsidRPr="00000000" w14:paraId="00000046">
      <w:pPr>
        <w:pageBreakBefore w:val="0"/>
        <w:spacing w:line="240" w:lineRule="auto"/>
        <w:ind w:left="720" w:firstLine="0"/>
        <w:rPr/>
      </w:pPr>
      <w:r w:rsidDel="00000000" w:rsidR="00000000" w:rsidRPr="00000000">
        <w:rPr>
          <w:rtl w:val="0"/>
        </w:rPr>
        <w:t xml:space="preserve">Hana likes that song.</w:t>
      </w:r>
    </w:p>
    <w:p w:rsidR="00000000" w:rsidDel="00000000" w:rsidP="00000000" w:rsidRDefault="00000000" w:rsidRPr="00000000" w14:paraId="00000047">
      <w:pPr>
        <w:pageBreakBefore w:val="0"/>
        <w:spacing w:line="240" w:lineRule="auto"/>
        <w:ind w:left="720" w:firstLine="0"/>
        <w:rPr/>
      </w:pPr>
      <w:r w:rsidDel="00000000" w:rsidR="00000000" w:rsidRPr="00000000">
        <w:rPr>
          <w:rtl w:val="0"/>
        </w:rPr>
      </w:r>
    </w:p>
    <w:p w:rsidR="00000000" w:rsidDel="00000000" w:rsidP="00000000" w:rsidRDefault="00000000" w:rsidRPr="00000000" w14:paraId="00000048">
      <w:pPr>
        <w:pageBreakBefore w:val="0"/>
        <w:spacing w:line="240" w:lineRule="auto"/>
        <w:ind w:left="720" w:firstLine="0"/>
        <w:rPr>
          <w:i w:val="1"/>
        </w:rPr>
      </w:pPr>
      <w:r w:rsidDel="00000000" w:rsidR="00000000" w:rsidRPr="00000000">
        <w:rPr>
          <w:i w:val="1"/>
          <w:rtl w:val="0"/>
        </w:rPr>
        <w:t xml:space="preserve">Lukášovi se nejvíc líbí klasická hudba.</w:t>
      </w:r>
    </w:p>
    <w:p w:rsidR="00000000" w:rsidDel="00000000" w:rsidP="00000000" w:rsidRDefault="00000000" w:rsidRPr="00000000" w14:paraId="00000049">
      <w:pPr>
        <w:pageBreakBefore w:val="0"/>
        <w:spacing w:line="240" w:lineRule="auto"/>
        <w:ind w:left="720" w:firstLine="0"/>
        <w:rPr/>
      </w:pPr>
      <w:r w:rsidDel="00000000" w:rsidR="00000000" w:rsidRPr="00000000">
        <w:rPr>
          <w:rtl w:val="0"/>
        </w:rPr>
        <w:t xml:space="preserve">Lukáš likes classical music the most.</w:t>
      </w:r>
    </w:p>
    <w:p w:rsidR="00000000" w:rsidDel="00000000" w:rsidP="00000000" w:rsidRDefault="00000000" w:rsidRPr="00000000" w14:paraId="0000004A">
      <w:pPr>
        <w:pageBreakBefore w:val="0"/>
        <w:spacing w:line="240" w:lineRule="auto"/>
        <w:ind w:left="720" w:firstLine="0"/>
        <w:rPr/>
      </w:pPr>
      <w:r w:rsidDel="00000000" w:rsidR="00000000" w:rsidRPr="00000000">
        <w:rPr>
          <w:rtl w:val="0"/>
        </w:rPr>
      </w:r>
    </w:p>
    <w:p w:rsidR="00000000" w:rsidDel="00000000" w:rsidP="00000000" w:rsidRDefault="00000000" w:rsidRPr="00000000" w14:paraId="0000004B">
      <w:pPr>
        <w:pageBreakBefore w:val="0"/>
        <w:spacing w:line="240" w:lineRule="auto"/>
        <w:rPr/>
      </w:pPr>
      <w:r w:rsidDel="00000000" w:rsidR="00000000" w:rsidRPr="00000000">
        <w:rPr>
          <w:rtl w:val="0"/>
        </w:rPr>
        <w:t xml:space="preserve">Notice that for each of these, the person who likes the thing is in the dative case (it is pleasing </w:t>
      </w:r>
      <w:r w:rsidDel="00000000" w:rsidR="00000000" w:rsidRPr="00000000">
        <w:rPr>
          <w:b w:val="1"/>
          <w:u w:val="single"/>
          <w:rtl w:val="0"/>
        </w:rPr>
        <w:t xml:space="preserve">to them</w:t>
      </w:r>
      <w:r w:rsidDel="00000000" w:rsidR="00000000" w:rsidRPr="00000000">
        <w:rPr>
          <w:rtl w:val="0"/>
        </w:rPr>
        <w:t xml:space="preserve">)</w:t>
      </w:r>
    </w:p>
    <w:p w:rsidR="00000000" w:rsidDel="00000000" w:rsidP="00000000" w:rsidRDefault="00000000" w:rsidRPr="00000000" w14:paraId="0000004C">
      <w:pPr>
        <w:pageBreakBefore w:val="0"/>
        <w:spacing w:line="240" w:lineRule="auto"/>
        <w:rPr/>
      </w:pPr>
      <w:r w:rsidDel="00000000" w:rsidR="00000000" w:rsidRPr="00000000">
        <w:rPr>
          <w:rtl w:val="0"/>
        </w:rPr>
      </w:r>
    </w:p>
    <w:p w:rsidR="00000000" w:rsidDel="00000000" w:rsidP="00000000" w:rsidRDefault="00000000" w:rsidRPr="00000000" w14:paraId="0000004D">
      <w:pPr>
        <w:pageBreakBefore w:val="0"/>
        <w:spacing w:line="240" w:lineRule="auto"/>
        <w:rPr>
          <w:i w:val="1"/>
        </w:rPr>
      </w:pPr>
      <w:r w:rsidDel="00000000" w:rsidR="00000000" w:rsidRPr="00000000">
        <w:rPr>
          <w:rtl w:val="0"/>
        </w:rPr>
        <w:t xml:space="preserve">You might also want to use pronouns (</w:t>
      </w:r>
      <w:r w:rsidDel="00000000" w:rsidR="00000000" w:rsidRPr="00000000">
        <w:rPr>
          <w:i w:val="1"/>
          <w:rtl w:val="0"/>
        </w:rPr>
        <w:t xml:space="preserve">me, you, him, her</w:t>
      </w:r>
      <w:r w:rsidDel="00000000" w:rsidR="00000000" w:rsidRPr="00000000">
        <w:rPr>
          <w:rtl w:val="0"/>
        </w:rPr>
        <w:t xml:space="preserve">, etc.). For that you’ll need...</w:t>
      </w:r>
      <w:r w:rsidDel="00000000" w:rsidR="00000000" w:rsidRPr="00000000">
        <w:rPr>
          <w:rtl w:val="0"/>
        </w:rPr>
      </w:r>
    </w:p>
    <w:p w:rsidR="00000000" w:rsidDel="00000000" w:rsidP="00000000" w:rsidRDefault="00000000" w:rsidRPr="00000000" w14:paraId="0000004E">
      <w:pPr>
        <w:pageBreakBefore w:val="0"/>
        <w:spacing w:line="240" w:lineRule="auto"/>
        <w:rPr>
          <w:sz w:val="22"/>
          <w:szCs w:val="22"/>
        </w:rPr>
      </w:pPr>
      <w:r w:rsidDel="00000000" w:rsidR="00000000" w:rsidRPr="00000000">
        <w:rPr>
          <w:rtl w:val="0"/>
        </w:rPr>
      </w:r>
    </w:p>
    <w:p w:rsidR="00000000" w:rsidDel="00000000" w:rsidP="00000000" w:rsidRDefault="00000000" w:rsidRPr="00000000" w14:paraId="0000004F">
      <w:pPr>
        <w:pageBreakBefore w:val="0"/>
        <w:spacing w:line="240" w:lineRule="auto"/>
        <w:rPr/>
      </w:pPr>
      <w:r w:rsidDel="00000000" w:rsidR="00000000" w:rsidRPr="00000000">
        <w:rPr>
          <w:b w:val="1"/>
          <w:rtl w:val="0"/>
        </w:rPr>
        <w:t xml:space="preserve">Dative of Pronouns</w:t>
      </w:r>
      <w:r w:rsidDel="00000000" w:rsidR="00000000" w:rsidRPr="00000000">
        <w:rPr>
          <w:rtl w:val="0"/>
        </w:rPr>
      </w:r>
    </w:p>
    <w:p w:rsidR="00000000" w:rsidDel="00000000" w:rsidP="00000000" w:rsidRDefault="00000000" w:rsidRPr="00000000" w14:paraId="00000050">
      <w:pPr>
        <w:pageBreakBefore w:val="0"/>
        <w:spacing w:line="240" w:lineRule="auto"/>
        <w:rPr/>
      </w:pPr>
      <w:r w:rsidDel="00000000" w:rsidR="00000000" w:rsidRPr="00000000">
        <w:rPr>
          <w:rtl w:val="0"/>
        </w:rPr>
      </w:r>
    </w:p>
    <w:p w:rsidR="00000000" w:rsidDel="00000000" w:rsidP="00000000" w:rsidRDefault="00000000" w:rsidRPr="00000000" w14:paraId="00000051">
      <w:pPr>
        <w:pageBreakBefore w:val="0"/>
        <w:spacing w:line="240" w:lineRule="auto"/>
        <w:rPr/>
      </w:pPr>
      <w:r w:rsidDel="00000000" w:rsidR="00000000" w:rsidRPr="00000000">
        <w:rPr>
          <w:rtl w:val="0"/>
        </w:rPr>
        <w:t xml:space="preserve">The table below gives the dative forms of personal pronouns next to the nominative forms that we already know:</w:t>
      </w:r>
    </w:p>
    <w:p w:rsidR="00000000" w:rsidDel="00000000" w:rsidP="00000000" w:rsidRDefault="00000000" w:rsidRPr="00000000" w14:paraId="00000052">
      <w:pPr>
        <w:pageBreakBefore w:val="0"/>
        <w:spacing w:line="240" w:lineRule="auto"/>
        <w:rPr/>
      </w:pPr>
      <w:r w:rsidDel="00000000" w:rsidR="00000000" w:rsidRPr="00000000">
        <w:rPr>
          <w:rtl w:val="0"/>
        </w:rPr>
      </w:r>
    </w:p>
    <w:tbl>
      <w:tblPr>
        <w:tblStyle w:val="Table3"/>
        <w:tblW w:w="4515.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5"/>
        <w:gridCol w:w="2257.5"/>
        <w:tblGridChange w:id="0">
          <w:tblGrid>
            <w:gridCol w:w="2257.5"/>
            <w:gridCol w:w="22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widowControl w:val="0"/>
              <w:spacing w:line="240" w:lineRule="auto"/>
              <w:jc w:val="center"/>
              <w:rPr>
                <w:b w:val="1"/>
              </w:rPr>
            </w:pPr>
            <w:r w:rsidDel="00000000" w:rsidR="00000000" w:rsidRPr="00000000">
              <w:rPr>
                <w:b w:val="1"/>
                <w:rtl w:val="0"/>
              </w:rPr>
              <w:t xml:space="preserve">nominative</w:t>
            </w:r>
          </w:p>
          <w:p w:rsidR="00000000" w:rsidDel="00000000" w:rsidP="00000000" w:rsidRDefault="00000000" w:rsidRPr="00000000" w14:paraId="00000054">
            <w:pPr>
              <w:pageBreakBefore w:val="0"/>
              <w:widowControl w:val="0"/>
              <w:spacing w:line="240" w:lineRule="auto"/>
              <w:jc w:val="center"/>
              <w:rPr>
                <w:b w:val="1"/>
              </w:rPr>
            </w:pPr>
            <w:r w:rsidDel="00000000" w:rsidR="00000000" w:rsidRPr="00000000">
              <w:rPr>
                <w:b w:val="1"/>
                <w:rtl w:val="0"/>
              </w:rPr>
              <w:t xml:space="preserve">form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widowControl w:val="0"/>
              <w:spacing w:line="240" w:lineRule="auto"/>
              <w:jc w:val="center"/>
              <w:rPr>
                <w:b w:val="1"/>
              </w:rPr>
            </w:pPr>
            <w:r w:rsidDel="00000000" w:rsidR="00000000" w:rsidRPr="00000000">
              <w:rPr>
                <w:b w:val="1"/>
                <w:rtl w:val="0"/>
              </w:rPr>
              <w:t xml:space="preserve">dative</w:t>
            </w:r>
          </w:p>
          <w:p w:rsidR="00000000" w:rsidDel="00000000" w:rsidP="00000000" w:rsidRDefault="00000000" w:rsidRPr="00000000" w14:paraId="00000056">
            <w:pPr>
              <w:pageBreakBefore w:val="0"/>
              <w:widowControl w:val="0"/>
              <w:spacing w:line="240" w:lineRule="auto"/>
              <w:jc w:val="center"/>
              <w:rPr>
                <w:b w:val="1"/>
              </w:rPr>
            </w:pPr>
            <w:r w:rsidDel="00000000" w:rsidR="00000000" w:rsidRPr="00000000">
              <w:rPr>
                <w:b w:val="1"/>
                <w:rtl w:val="0"/>
              </w:rPr>
              <w:t xml:space="preserve">form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widowControl w:val="0"/>
              <w:spacing w:line="240" w:lineRule="auto"/>
              <w:jc w:val="center"/>
              <w:rPr>
                <w:i w:val="1"/>
              </w:rPr>
            </w:pPr>
            <w:r w:rsidDel="00000000" w:rsidR="00000000" w:rsidRPr="00000000">
              <w:rPr>
                <w:i w:val="1"/>
                <w:rtl w:val="0"/>
              </w:rPr>
              <w:t xml:space="preserve">já</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widowControl w:val="0"/>
              <w:spacing w:line="240" w:lineRule="auto"/>
              <w:jc w:val="center"/>
              <w:rPr>
                <w:i w:val="1"/>
              </w:rPr>
            </w:pPr>
            <w:r w:rsidDel="00000000" w:rsidR="00000000" w:rsidRPr="00000000">
              <w:rPr>
                <w:i w:val="1"/>
                <w:rtl w:val="0"/>
              </w:rPr>
              <w:t xml:space="preserve">mi, mně</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widowControl w:val="0"/>
              <w:spacing w:line="240" w:lineRule="auto"/>
              <w:jc w:val="center"/>
              <w:rPr>
                <w:i w:val="1"/>
              </w:rPr>
            </w:pPr>
            <w:r w:rsidDel="00000000" w:rsidR="00000000" w:rsidRPr="00000000">
              <w:rPr>
                <w:i w:val="1"/>
                <w:rtl w:val="0"/>
              </w:rPr>
              <w:t xml:space="preserve">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widowControl w:val="0"/>
              <w:spacing w:line="240" w:lineRule="auto"/>
              <w:jc w:val="center"/>
              <w:rPr>
                <w:i w:val="1"/>
              </w:rPr>
            </w:pPr>
            <w:r w:rsidDel="00000000" w:rsidR="00000000" w:rsidRPr="00000000">
              <w:rPr>
                <w:i w:val="1"/>
                <w:rtl w:val="0"/>
              </w:rPr>
              <w:t xml:space="preserve">ti, tobě</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widowControl w:val="0"/>
              <w:spacing w:line="240" w:lineRule="auto"/>
              <w:jc w:val="center"/>
              <w:rPr>
                <w:i w:val="1"/>
              </w:rPr>
            </w:pPr>
            <w:r w:rsidDel="00000000" w:rsidR="00000000" w:rsidRPr="00000000">
              <w:rPr>
                <w:i w:val="1"/>
                <w:rtl w:val="0"/>
              </w:rPr>
              <w:t xml:space="preserve">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widowControl w:val="0"/>
              <w:spacing w:line="240" w:lineRule="auto"/>
              <w:jc w:val="center"/>
              <w:rPr>
                <w:i w:val="1"/>
              </w:rPr>
            </w:pPr>
            <w:r w:rsidDel="00000000" w:rsidR="00000000" w:rsidRPr="00000000">
              <w:rPr>
                <w:i w:val="1"/>
                <w:rtl w:val="0"/>
              </w:rPr>
              <w:t xml:space="preserve">mu, jemu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widowControl w:val="0"/>
              <w:spacing w:line="240" w:lineRule="auto"/>
              <w:jc w:val="center"/>
              <w:rPr>
                <w:i w:val="1"/>
              </w:rPr>
            </w:pPr>
            <w:r w:rsidDel="00000000" w:rsidR="00000000" w:rsidRPr="00000000">
              <w:rPr>
                <w:i w:val="1"/>
                <w:rtl w:val="0"/>
              </w:rPr>
              <w:t xml:space="preserve">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widowControl w:val="0"/>
              <w:spacing w:line="240" w:lineRule="auto"/>
              <w:jc w:val="center"/>
              <w:rPr>
                <w:i w:val="1"/>
              </w:rPr>
            </w:pPr>
            <w:r w:rsidDel="00000000" w:rsidR="00000000" w:rsidRPr="00000000">
              <w:rPr>
                <w:i w:val="1"/>
                <w:rtl w:val="0"/>
              </w:rPr>
              <w:t xml:space="preserve">jí</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pageBreakBefore w:val="0"/>
              <w:widowControl w:val="0"/>
              <w:spacing w:line="240" w:lineRule="auto"/>
              <w:jc w:val="center"/>
              <w:rPr>
                <w:i w:val="1"/>
              </w:rPr>
            </w:pPr>
            <w:r w:rsidDel="00000000" w:rsidR="00000000" w:rsidRPr="00000000">
              <w:rPr>
                <w:i w:val="1"/>
                <w:rtl w:val="0"/>
              </w:rPr>
              <w:t xml:space="preserve">my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widowControl w:val="0"/>
              <w:spacing w:line="240" w:lineRule="auto"/>
              <w:jc w:val="center"/>
              <w:rPr>
                <w:i w:val="1"/>
              </w:rPr>
            </w:pPr>
            <w:r w:rsidDel="00000000" w:rsidR="00000000" w:rsidRPr="00000000">
              <w:rPr>
                <w:i w:val="1"/>
                <w:rtl w:val="0"/>
              </w:rPr>
              <w:t xml:space="preserve">nám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pageBreakBefore w:val="0"/>
              <w:widowControl w:val="0"/>
              <w:spacing w:line="240" w:lineRule="auto"/>
              <w:jc w:val="center"/>
              <w:rPr>
                <w:i w:val="1"/>
              </w:rPr>
            </w:pPr>
            <w:r w:rsidDel="00000000" w:rsidR="00000000" w:rsidRPr="00000000">
              <w:rPr>
                <w:i w:val="1"/>
                <w:rtl w:val="0"/>
              </w:rPr>
              <w:t xml:space="preserve">vy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widowControl w:val="0"/>
              <w:spacing w:line="240" w:lineRule="auto"/>
              <w:jc w:val="center"/>
              <w:rPr>
                <w:i w:val="1"/>
              </w:rPr>
            </w:pPr>
            <w:r w:rsidDel="00000000" w:rsidR="00000000" w:rsidRPr="00000000">
              <w:rPr>
                <w:i w:val="1"/>
                <w:rtl w:val="0"/>
              </w:rPr>
              <w:t xml:space="preserve">vám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pageBreakBefore w:val="0"/>
              <w:widowControl w:val="0"/>
              <w:spacing w:line="240" w:lineRule="auto"/>
              <w:jc w:val="center"/>
              <w:rPr>
                <w:i w:val="1"/>
              </w:rPr>
            </w:pPr>
            <w:r w:rsidDel="00000000" w:rsidR="00000000" w:rsidRPr="00000000">
              <w:rPr>
                <w:i w:val="1"/>
                <w:rtl w:val="0"/>
              </w:rPr>
              <w:t xml:space="preserve">oni (ony, ona)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widowControl w:val="0"/>
              <w:spacing w:line="240" w:lineRule="auto"/>
              <w:jc w:val="center"/>
              <w:rPr>
                <w:i w:val="1"/>
              </w:rPr>
            </w:pPr>
            <w:r w:rsidDel="00000000" w:rsidR="00000000" w:rsidRPr="00000000">
              <w:rPr>
                <w:i w:val="1"/>
                <w:rtl w:val="0"/>
              </w:rPr>
              <w:t xml:space="preserve">jim</w:t>
            </w:r>
          </w:p>
        </w:tc>
      </w:tr>
    </w:tbl>
    <w:p w:rsidR="00000000" w:rsidDel="00000000" w:rsidP="00000000" w:rsidRDefault="00000000" w:rsidRPr="00000000" w14:paraId="00000065">
      <w:pPr>
        <w:pageBreakBefore w:val="0"/>
        <w:spacing w:line="240" w:lineRule="auto"/>
        <w:rPr/>
      </w:pPr>
      <w:r w:rsidDel="00000000" w:rsidR="00000000" w:rsidRPr="00000000">
        <w:rPr>
          <w:rtl w:val="0"/>
        </w:rPr>
      </w:r>
    </w:p>
    <w:p w:rsidR="00000000" w:rsidDel="00000000" w:rsidP="00000000" w:rsidRDefault="00000000" w:rsidRPr="00000000" w14:paraId="00000066">
      <w:pPr>
        <w:pageBreakBefore w:val="0"/>
        <w:spacing w:line="240" w:lineRule="auto"/>
        <w:rPr/>
      </w:pPr>
      <w:r w:rsidDel="00000000" w:rsidR="00000000" w:rsidRPr="00000000">
        <w:rPr>
          <w:rtl w:val="0"/>
        </w:rPr>
        <w:t xml:space="preserve">Remember that </w:t>
      </w:r>
      <w:r w:rsidDel="00000000" w:rsidR="00000000" w:rsidRPr="00000000">
        <w:rPr>
          <w:i w:val="1"/>
          <w:rtl w:val="0"/>
        </w:rPr>
        <w:t xml:space="preserve">se</w:t>
      </w:r>
      <w:r w:rsidDel="00000000" w:rsidR="00000000" w:rsidRPr="00000000">
        <w:rPr>
          <w:rtl w:val="0"/>
        </w:rPr>
        <w:t xml:space="preserve"> is going to be in </w:t>
      </w:r>
      <w:hyperlink r:id="rId10">
        <w:r w:rsidDel="00000000" w:rsidR="00000000" w:rsidRPr="00000000">
          <w:rPr>
            <w:color w:val="1155cc"/>
            <w:u w:val="single"/>
            <w:rtl w:val="0"/>
          </w:rPr>
          <w:t xml:space="preserve">2nd position</w:t>
        </w:r>
      </w:hyperlink>
      <w:r w:rsidDel="00000000" w:rsidR="00000000" w:rsidRPr="00000000">
        <w:rPr>
          <w:rtl w:val="0"/>
        </w:rPr>
        <w:t xml:space="preserve">. When you use these pronoun forms, put them right after the word </w:t>
      </w:r>
      <w:r w:rsidDel="00000000" w:rsidR="00000000" w:rsidRPr="00000000">
        <w:rPr>
          <w:i w:val="1"/>
          <w:rtl w:val="0"/>
        </w:rPr>
        <w:t xml:space="preserve">se</w:t>
      </w:r>
      <w:r w:rsidDel="00000000" w:rsidR="00000000" w:rsidRPr="00000000">
        <w:rPr>
          <w:rtl w:val="0"/>
        </w:rPr>
        <w:t xml:space="preserve"> (they are also technically in </w:t>
      </w:r>
      <w:hyperlink r:id="rId11">
        <w:r w:rsidDel="00000000" w:rsidR="00000000" w:rsidRPr="00000000">
          <w:rPr>
            <w:color w:val="1155cc"/>
            <w:u w:val="single"/>
            <w:rtl w:val="0"/>
          </w:rPr>
          <w:t xml:space="preserve">2nd position</w:t>
        </w:r>
      </w:hyperlink>
      <w:r w:rsidDel="00000000" w:rsidR="00000000" w:rsidRPr="00000000">
        <w:rPr>
          <w:rtl w:val="0"/>
        </w:rPr>
        <w:t xml:space="preserve">, but get outranked by </w:t>
      </w:r>
      <w:r w:rsidDel="00000000" w:rsidR="00000000" w:rsidRPr="00000000">
        <w:rPr>
          <w:i w:val="1"/>
          <w:rtl w:val="0"/>
        </w:rPr>
        <w:t xml:space="preserve">se</w:t>
      </w:r>
      <w:r w:rsidDel="00000000" w:rsidR="00000000" w:rsidRPr="00000000">
        <w:rPr>
          <w:rtl w:val="0"/>
        </w:rPr>
        <w:t xml:space="preserve">).</w:t>
      </w:r>
    </w:p>
    <w:p w:rsidR="00000000" w:rsidDel="00000000" w:rsidP="00000000" w:rsidRDefault="00000000" w:rsidRPr="00000000" w14:paraId="00000067">
      <w:pPr>
        <w:pageBreakBefore w:val="0"/>
        <w:spacing w:line="240" w:lineRule="auto"/>
        <w:rPr/>
      </w:pPr>
      <w:r w:rsidDel="00000000" w:rsidR="00000000" w:rsidRPr="00000000">
        <w:rPr>
          <w:rtl w:val="0"/>
        </w:rPr>
      </w:r>
    </w:p>
    <w:p w:rsidR="00000000" w:rsidDel="00000000" w:rsidP="00000000" w:rsidRDefault="00000000" w:rsidRPr="00000000" w14:paraId="00000068">
      <w:pPr>
        <w:pageBreakBefore w:val="0"/>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realityczech.org/reflexive-se-and-si-and-2nd-position" TargetMode="External"/><Relationship Id="rId10" Type="http://schemas.openxmlformats.org/officeDocument/2006/relationships/hyperlink" Target="https://realityczech.org/reflexive-se-and-si-and-2nd-position" TargetMode="External"/><Relationship Id="rId9" Type="http://schemas.openxmlformats.org/officeDocument/2006/relationships/hyperlink" Target="https://realityczech.org/concept-of-case/" TargetMode="External"/><Relationship Id="rId5" Type="http://schemas.openxmlformats.org/officeDocument/2006/relationships/styles" Target="styles.xml"/><Relationship Id="rId6" Type="http://schemas.openxmlformats.org/officeDocument/2006/relationships/hyperlink" Target="https://realityczech.org/libit-se-liking-something" TargetMode="External"/><Relationship Id="rId7" Type="http://schemas.openxmlformats.org/officeDocument/2006/relationships/hyperlink" Target="https://realityczech.org/libit-se-liking-something" TargetMode="External"/><Relationship Id="rId8" Type="http://schemas.openxmlformats.org/officeDocument/2006/relationships/hyperlink" Target="https://realityczech.org/libit-se-liking-somet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