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68fttrd7vu1r" w:id="0"/>
      <w:bookmarkEnd w:id="0"/>
      <w:r w:rsidDel="00000000" w:rsidR="00000000" w:rsidRPr="00000000">
        <w:rPr>
          <w:rtl w:val="0"/>
        </w:rPr>
        <w:t xml:space="preserve">6.5 - Saying ‘with’ using </w:t>
      </w:r>
      <w:r w:rsidDel="00000000" w:rsidR="00000000" w:rsidRPr="00000000">
        <w:rPr>
          <w:i w:val="1"/>
          <w:rtl w:val="0"/>
        </w:rPr>
        <w:t xml:space="preserve">s</w:t>
      </w:r>
      <w:r w:rsidDel="00000000" w:rsidR="00000000" w:rsidRPr="00000000">
        <w:rPr>
          <w:rtl w:val="0"/>
        </w:rPr>
        <w:t xml:space="preserve"> + INSTR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Today we will continue using the preposition </w:t>
      </w:r>
      <w:r w:rsidDel="00000000" w:rsidR="00000000" w:rsidRPr="00000000">
        <w:rPr>
          <w:b w:val="1"/>
          <w:i w:val="1"/>
          <w:rtl w:val="0"/>
        </w:rPr>
        <w:t xml:space="preserve">s</w:t>
      </w:r>
      <w:r w:rsidDel="00000000" w:rsidR="00000000" w:rsidRPr="00000000">
        <w:rPr>
          <w:rtl w:val="0"/>
        </w:rPr>
        <w:t xml:space="preserve"> ‘with’ in Czech and we will be using it with other people’s names.  </w:t>
      </w:r>
      <w:r w:rsidDel="00000000" w:rsidR="00000000" w:rsidRPr="00000000">
        <w:rPr>
          <w:rtl w:val="0"/>
        </w:rPr>
        <w:t xml:space="preserve">First let’s learn the instrumental forms of our questions words </w:t>
      </w:r>
      <w:r w:rsidDel="00000000" w:rsidR="00000000" w:rsidRPr="00000000">
        <w:rPr>
          <w:i w:val="1"/>
          <w:rtl w:val="0"/>
        </w:rPr>
        <w:t xml:space="preserve">kdo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i w:val="1"/>
          <w:rtl w:val="0"/>
        </w:rPr>
        <w:t xml:space="preserve">co</w:t>
      </w:r>
      <w:r w:rsidDel="00000000" w:rsidR="00000000" w:rsidRPr="00000000">
        <w:rPr>
          <w:rtl w:val="0"/>
        </w:rPr>
        <w:t xml:space="preserve">, which are </w:t>
      </w:r>
      <w:r w:rsidDel="00000000" w:rsidR="00000000" w:rsidRPr="00000000">
        <w:rPr>
          <w:i w:val="1"/>
          <w:rtl w:val="0"/>
        </w:rPr>
        <w:t xml:space="preserve">kým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i w:val="1"/>
          <w:rtl w:val="0"/>
        </w:rPr>
        <w:t xml:space="preserve">čím</w:t>
      </w:r>
      <w:r w:rsidDel="00000000" w:rsidR="00000000" w:rsidRPr="00000000">
        <w:rPr>
          <w:rtl w:val="0"/>
        </w:rPr>
        <w:t xml:space="preserve">, respectively: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80"/>
        <w:gridCol w:w="2880"/>
        <w:gridCol w:w="2880"/>
        <w:tblGridChange w:id="0">
          <w:tblGrid>
            <w:gridCol w:w="2880"/>
            <w:gridCol w:w="2880"/>
            <w:gridCol w:w="28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Nominative</w:t>
            </w:r>
          </w:p>
        </w:tc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kdo</w:t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co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Genitive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koho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čeho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komu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čemu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Accusative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koho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co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Vocative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--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--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(o) kom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(o) čem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Instrumental</w:t>
            </w:r>
          </w:p>
        </w:tc>
        <w:tc>
          <w:tcPr>
            <w:tcBorders>
              <w:bottom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 kým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 čím</w:t>
            </w:r>
          </w:p>
        </w:tc>
      </w:tr>
    </w:tbl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S čím pijete kávu? --S mlékem a cukrem.</w:t>
      </w:r>
    </w:p>
    <w:p w:rsidR="00000000" w:rsidDel="00000000" w:rsidP="00000000" w:rsidRDefault="00000000" w:rsidRPr="00000000" w14:paraId="0000001E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S kým jedeš na chatu? --S Tomášem a Bárou.</w:t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  <w:t xml:space="preserve">In this unit we’ll talk about </w:t>
      </w:r>
      <w:r w:rsidDel="00000000" w:rsidR="00000000" w:rsidRPr="00000000">
        <w:rPr>
          <w:b w:val="1"/>
          <w:rtl w:val="0"/>
        </w:rPr>
        <w:t xml:space="preserve">people</w:t>
      </w:r>
      <w:r w:rsidDel="00000000" w:rsidR="00000000" w:rsidRPr="00000000">
        <w:rPr>
          <w:rtl w:val="0"/>
        </w:rPr>
        <w:t xml:space="preserve"> that we do things with. For this we’ll need the preposition </w:t>
      </w:r>
      <w:r w:rsidDel="00000000" w:rsidR="00000000" w:rsidRPr="00000000">
        <w:rPr>
          <w:i w:val="1"/>
          <w:rtl w:val="0"/>
        </w:rPr>
        <w:t xml:space="preserve">s</w:t>
      </w:r>
      <w:r w:rsidDel="00000000" w:rsidR="00000000" w:rsidRPr="00000000">
        <w:rPr>
          <w:rtl w:val="0"/>
        </w:rPr>
        <w:t xml:space="preserve">, which is followed by the instrumental case. Here are the endings for the instrumental:</w:t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spacing w:lin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Instrumental Singular Endings</w:t>
      </w:r>
    </w:p>
    <w:p w:rsidR="00000000" w:rsidDel="00000000" w:rsidP="00000000" w:rsidRDefault="00000000" w:rsidRPr="00000000" w14:paraId="00000024">
      <w:pPr>
        <w:pageBreakBefore w:val="0"/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2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44"/>
        <w:gridCol w:w="1944"/>
        <w:gridCol w:w="1944"/>
        <w:gridCol w:w="1944"/>
        <w:gridCol w:w="1944"/>
        <w:tblGridChange w:id="0">
          <w:tblGrid>
            <w:gridCol w:w="1944"/>
            <w:gridCol w:w="1944"/>
            <w:gridCol w:w="1944"/>
            <w:gridCol w:w="1944"/>
            <w:gridCol w:w="194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25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26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</w:t>
            </w:r>
          </w:p>
        </w:tc>
        <w:tc>
          <w:tcPr>
            <w:tcBorders>
              <w:top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27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MI</w:t>
            </w:r>
          </w:p>
        </w:tc>
        <w:tc>
          <w:tcPr>
            <w:tcBorders>
              <w:top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28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</w:t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29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2A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Hard stem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B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-em</w:t>
            </w:r>
          </w:p>
          <w:p w:rsidR="00000000" w:rsidDel="00000000" w:rsidP="00000000" w:rsidRDefault="00000000" w:rsidRPr="00000000" w14:paraId="0000002C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psem</w:t>
            </w:r>
          </w:p>
          <w:p w:rsidR="00000000" w:rsidDel="00000000" w:rsidP="00000000" w:rsidRDefault="00000000" w:rsidRPr="00000000" w14:paraId="0000002D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profesorem</w:t>
            </w:r>
          </w:p>
          <w:p w:rsidR="00000000" w:rsidDel="00000000" w:rsidP="00000000" w:rsidRDefault="00000000" w:rsidRPr="00000000" w14:paraId="0000002E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manželem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F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-em</w:t>
            </w:r>
          </w:p>
          <w:p w:rsidR="00000000" w:rsidDel="00000000" w:rsidP="00000000" w:rsidRDefault="00000000" w:rsidRPr="00000000" w14:paraId="00000030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vlakem</w:t>
            </w:r>
          </w:p>
          <w:p w:rsidR="00000000" w:rsidDel="00000000" w:rsidP="00000000" w:rsidRDefault="00000000" w:rsidRPr="00000000" w14:paraId="00000031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taxíkem</w:t>
            </w:r>
          </w:p>
          <w:p w:rsidR="00000000" w:rsidDel="00000000" w:rsidP="00000000" w:rsidRDefault="00000000" w:rsidRPr="00000000" w14:paraId="00000032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3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-ou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vidličkou</w:t>
            </w:r>
          </w:p>
          <w:p w:rsidR="00000000" w:rsidDel="00000000" w:rsidP="00000000" w:rsidRDefault="00000000" w:rsidRPr="00000000" w14:paraId="00000035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lžičkou</w:t>
            </w:r>
          </w:p>
        </w:tc>
        <w:tc>
          <w:tcPr>
            <w:tcBorders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36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-em</w:t>
            </w:r>
          </w:p>
          <w:p w:rsidR="00000000" w:rsidDel="00000000" w:rsidP="00000000" w:rsidRDefault="00000000" w:rsidRPr="00000000" w14:paraId="00000037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metrem</w:t>
            </w:r>
          </w:p>
          <w:p w:rsidR="00000000" w:rsidDel="00000000" w:rsidP="00000000" w:rsidRDefault="00000000" w:rsidRPr="00000000" w14:paraId="00000038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autem</w:t>
            </w:r>
          </w:p>
          <w:p w:rsidR="00000000" w:rsidDel="00000000" w:rsidP="00000000" w:rsidRDefault="00000000" w:rsidRPr="00000000" w14:paraId="00000039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letadlem</w:t>
            </w:r>
          </w:p>
          <w:p w:rsidR="00000000" w:rsidDel="00000000" w:rsidP="00000000" w:rsidRDefault="00000000" w:rsidRPr="00000000" w14:paraId="0000003A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3B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Soft stem</w:t>
            </w:r>
          </w:p>
        </w:tc>
        <w:tc>
          <w:tcPr>
            <w:tcBorders>
              <w:bottom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3C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-em</w:t>
            </w:r>
          </w:p>
          <w:p w:rsidR="00000000" w:rsidDel="00000000" w:rsidP="00000000" w:rsidRDefault="00000000" w:rsidRPr="00000000" w14:paraId="0000003D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sportovcem</w:t>
            </w:r>
          </w:p>
          <w:p w:rsidR="00000000" w:rsidDel="00000000" w:rsidP="00000000" w:rsidRDefault="00000000" w:rsidRPr="00000000" w14:paraId="0000003E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mužem</w:t>
            </w:r>
          </w:p>
          <w:p w:rsidR="00000000" w:rsidDel="00000000" w:rsidP="00000000" w:rsidRDefault="00000000" w:rsidRPr="00000000" w14:paraId="0000003F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učitelem</w:t>
            </w:r>
          </w:p>
        </w:tc>
        <w:tc>
          <w:tcPr>
            <w:tcBorders>
              <w:bottom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40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-em</w:t>
            </w:r>
          </w:p>
          <w:p w:rsidR="00000000" w:rsidDel="00000000" w:rsidP="00000000" w:rsidRDefault="00000000" w:rsidRPr="00000000" w14:paraId="00000041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nožem</w:t>
            </w:r>
          </w:p>
        </w:tc>
        <w:tc>
          <w:tcPr>
            <w:tcBorders>
              <w:bottom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42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-í</w:t>
            </w:r>
          </w:p>
          <w:p w:rsidR="00000000" w:rsidDel="00000000" w:rsidP="00000000" w:rsidRDefault="00000000" w:rsidRPr="00000000" w14:paraId="00000043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tramvají</w:t>
            </w:r>
          </w:p>
          <w:p w:rsidR="00000000" w:rsidDel="00000000" w:rsidP="00000000" w:rsidRDefault="00000000" w:rsidRPr="00000000" w14:paraId="00000044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-í</w:t>
            </w:r>
          </w:p>
          <w:p w:rsidR="00000000" w:rsidDel="00000000" w:rsidP="00000000" w:rsidRDefault="00000000" w:rsidRPr="00000000" w14:paraId="00000045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lodí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46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-em/ěm</w:t>
            </w:r>
          </w:p>
          <w:p w:rsidR="00000000" w:rsidDel="00000000" w:rsidP="00000000" w:rsidRDefault="00000000" w:rsidRPr="00000000" w14:paraId="00000047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letištěm</w:t>
            </w:r>
          </w:p>
          <w:p w:rsidR="00000000" w:rsidDel="00000000" w:rsidP="00000000" w:rsidRDefault="00000000" w:rsidRPr="00000000" w14:paraId="00000048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-ím</w:t>
            </w:r>
          </w:p>
          <w:p w:rsidR="00000000" w:rsidDel="00000000" w:rsidP="00000000" w:rsidRDefault="00000000" w:rsidRPr="00000000" w14:paraId="00000049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nádražím</w:t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rPr>
          <w:b w:val="1"/>
          <w:i w:val="1"/>
        </w:rPr>
      </w:pPr>
      <w:r w:rsidDel="00000000" w:rsidR="00000000" w:rsidRPr="00000000">
        <w:rPr>
          <w:rtl w:val="0"/>
        </w:rPr>
        <w:t xml:space="preserve">As you can see, there are basically three endings depending on gender and stem type: </w:t>
      </w:r>
      <w:r w:rsidDel="00000000" w:rsidR="00000000" w:rsidRPr="00000000">
        <w:rPr>
          <w:b w:val="1"/>
          <w:i w:val="1"/>
          <w:rtl w:val="0"/>
        </w:rPr>
        <w:t xml:space="preserve">-em, -ou, -í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rPr/>
      </w:pPr>
      <w:r w:rsidDel="00000000" w:rsidR="00000000" w:rsidRPr="00000000">
        <w:rPr>
          <w:rtl w:val="0"/>
        </w:rPr>
        <w:t xml:space="preserve">Let’s see some examples:</w:t>
      </w:r>
    </w:p>
    <w:tbl>
      <w:tblPr>
        <w:tblStyle w:val="Table3"/>
        <w:tblW w:w="9360.0" w:type="dxa"/>
        <w:jc w:val="left"/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pageBreakBefore w:val="0"/>
              <w:widowControl w:val="0"/>
              <w:spacing w:line="240" w:lineRule="auto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108200"/>
                    <wp:effectExtent b="0" l="0" r="0" t="0"/>
                    <wp:docPr id="3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7"/>
                            <a:srcRect b="0" l="0" r="8053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108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Karel často běhá s Lukášem a Václavem.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133600"/>
                    <wp:effectExtent b="0" l="0" r="0" t="0"/>
                    <wp:docPr id="4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133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Hodně rád hraju tenis s Ivetou. Ona ale vždycky vyhrává.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pageBreakBefore w:val="0"/>
              <w:widowControl w:val="0"/>
              <w:spacing w:line="240" w:lineRule="auto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Pavla ráda cvičí jógu s Lucií.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905000"/>
                    <wp:effectExtent b="0" l="0" r="0" t="0"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3"/>
                            <a:srcRect b="0" l="0" r="0" t="107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905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Lenka ráda chodí na procházky se psem.</w:t>
            </w:r>
          </w:p>
        </w:tc>
      </w:tr>
    </w:tbl>
    <w:p w:rsidR="00000000" w:rsidDel="00000000" w:rsidP="00000000" w:rsidRDefault="00000000" w:rsidRPr="00000000" w14:paraId="0000005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rPr/>
      </w:pPr>
      <w:r w:rsidDel="00000000" w:rsidR="00000000" w:rsidRPr="00000000">
        <w:rPr>
          <w:color w:val="222222"/>
          <w:sz w:val="22"/>
          <w:szCs w:val="22"/>
          <w:highlight w:val="white"/>
          <w:rtl w:val="0"/>
        </w:rPr>
        <w:t xml:space="preserve">Images used in this document come from </w:t>
      </w:r>
      <w:hyperlink r:id="rId14">
        <w:r w:rsidDel="00000000" w:rsidR="00000000" w:rsidRPr="00000000">
          <w:rPr>
            <w:color w:val="1155cc"/>
            <w:sz w:val="22"/>
            <w:szCs w:val="22"/>
            <w:highlight w:val="white"/>
            <w:u w:val="single"/>
            <w:rtl w:val="0"/>
          </w:rPr>
          <w:t xml:space="preserve">these sources.</w:t>
        </w:r>
      </w:hyperlink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www.pexels.com/photo/woman-wearing-white-sleeveless-top-3094230/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www.pexels.com/photo/short-coat-black-dog-standing-on-brown-ground-3107873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hyperlink" Target="https://docs.google.com/document/d/1zu04ewEVSZyzgeJP4UruSCuuT6cwPM-ukabQuZH2Y_I/edit#heading=h.vi95cmvd3as2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pexels.com/photo/monochrome-photography-of-people-jogging-through-the-woods-791085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www.needpix.com/photo/1307850/active-ball-court-exercise-female-girl-leisure-outdoor-peop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