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spacing w:line="240" w:lineRule="auto"/>
        <w:rPr>
          <w:sz w:val="24"/>
          <w:szCs w:val="24"/>
        </w:rPr>
      </w:pPr>
      <w:bookmarkStart w:colFirst="0" w:colLast="0" w:name="_kyjtsi9g6b36" w:id="0"/>
      <w:bookmarkEnd w:id="0"/>
      <w:r w:rsidDel="00000000" w:rsidR="00000000" w:rsidRPr="00000000">
        <w:rPr>
          <w:rtl w:val="0"/>
        </w:rPr>
        <w:t xml:space="preserve">9.7 - </w:t>
      </w:r>
      <w:r w:rsidDel="00000000" w:rsidR="00000000" w:rsidRPr="00000000">
        <w:rPr>
          <w:i w:val="1"/>
          <w:rtl w:val="0"/>
        </w:rPr>
        <w:t xml:space="preserve">po </w:t>
      </w:r>
      <w:r w:rsidDel="00000000" w:rsidR="00000000" w:rsidRPr="00000000">
        <w:rPr>
          <w:rtl w:val="0"/>
        </w:rPr>
        <w:t xml:space="preserve">+ locative ‘around’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425"/>
        <w:gridCol w:w="4935"/>
        <w:tblGridChange w:id="0">
          <w:tblGrid>
            <w:gridCol w:w="4425"/>
            <w:gridCol w:w="493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hyperlink r:id="rId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633663" cy="1829702"/>
                    <wp:effectExtent b="0" l="0" r="0" t="0"/>
                    <wp:docPr id="5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33663" cy="1829702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949314" cy="1824038"/>
                    <wp:effectExtent b="0" l="0" r="0" t="0"/>
                    <wp:docPr id="4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49314" cy="18240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příroda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- nature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poušť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(f.)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- desert</w:t>
            </w:r>
          </w:p>
        </w:tc>
      </w:tr>
    </w:tbl>
    <w:p w:rsidR="00000000" w:rsidDel="00000000" w:rsidP="00000000" w:rsidRDefault="00000000" w:rsidRPr="00000000" w14:paraId="00000007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spacing w:lin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preposition </w:t>
      </w:r>
      <w:r w:rsidDel="00000000" w:rsidR="00000000" w:rsidRPr="00000000">
        <w:rPr>
          <w:i w:val="1"/>
          <w:sz w:val="24"/>
          <w:szCs w:val="24"/>
          <w:rtl w:val="0"/>
        </w:rPr>
        <w:t xml:space="preserve">po</w:t>
      </w:r>
      <w:r w:rsidDel="00000000" w:rsidR="00000000" w:rsidRPr="00000000">
        <w:rPr>
          <w:sz w:val="24"/>
          <w:szCs w:val="24"/>
          <w:rtl w:val="0"/>
        </w:rPr>
        <w:t xml:space="preserve"> is followed by the locative case in the meaning of  ‘around’ (as in aimless walking), e.g. - </w:t>
      </w:r>
      <w:r w:rsidDel="00000000" w:rsidR="00000000" w:rsidRPr="00000000">
        <w:rPr>
          <w:i w:val="1"/>
          <w:sz w:val="24"/>
          <w:szCs w:val="24"/>
          <w:rtl w:val="0"/>
        </w:rPr>
        <w:t xml:space="preserve">po parku</w:t>
      </w:r>
      <w:r w:rsidDel="00000000" w:rsidR="00000000" w:rsidRPr="00000000">
        <w:rPr>
          <w:sz w:val="24"/>
          <w:szCs w:val="24"/>
          <w:rtl w:val="0"/>
        </w:rPr>
        <w:t xml:space="preserve"> ‘around the park’, </w:t>
      </w:r>
      <w:r w:rsidDel="00000000" w:rsidR="00000000" w:rsidRPr="00000000">
        <w:rPr>
          <w:i w:val="1"/>
          <w:sz w:val="24"/>
          <w:szCs w:val="24"/>
          <w:rtl w:val="0"/>
        </w:rPr>
        <w:t xml:space="preserve">po městě</w:t>
      </w:r>
      <w:r w:rsidDel="00000000" w:rsidR="00000000" w:rsidRPr="00000000">
        <w:rPr>
          <w:sz w:val="24"/>
          <w:szCs w:val="24"/>
          <w:rtl w:val="0"/>
        </w:rPr>
        <w:t xml:space="preserve"> ‘around the city’</w:t>
      </w:r>
    </w:p>
    <w:p w:rsidR="00000000" w:rsidDel="00000000" w:rsidP="00000000" w:rsidRDefault="00000000" w:rsidRPr="00000000" w14:paraId="00000009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4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928813" cy="1414049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8813" cy="14140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few verbs that you will see this with are </w:t>
      </w:r>
      <w:r w:rsidDel="00000000" w:rsidR="00000000" w:rsidRPr="00000000">
        <w:rPr>
          <w:i w:val="1"/>
          <w:sz w:val="24"/>
          <w:szCs w:val="24"/>
          <w:rtl w:val="0"/>
        </w:rPr>
        <w:t xml:space="preserve">cestovat</w:t>
      </w:r>
      <w:r w:rsidDel="00000000" w:rsidR="00000000" w:rsidRPr="00000000">
        <w:rPr>
          <w:sz w:val="24"/>
          <w:szCs w:val="24"/>
          <w:rtl w:val="0"/>
        </w:rPr>
        <w:t xml:space="preserve"> ‘to travel’ or </w:t>
      </w:r>
      <w:r w:rsidDel="00000000" w:rsidR="00000000" w:rsidRPr="00000000">
        <w:rPr>
          <w:i w:val="1"/>
          <w:sz w:val="24"/>
          <w:szCs w:val="24"/>
          <w:rtl w:val="0"/>
        </w:rPr>
        <w:t xml:space="preserve">procházet se</w:t>
      </w:r>
      <w:r w:rsidDel="00000000" w:rsidR="00000000" w:rsidRPr="00000000">
        <w:rPr>
          <w:sz w:val="24"/>
          <w:szCs w:val="24"/>
          <w:rtl w:val="0"/>
        </w:rPr>
        <w:t xml:space="preserve"> ‘to stroll around’: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Každé léto cestujeme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po Evropě</w:t>
      </w:r>
      <w:r w:rsidDel="00000000" w:rsidR="00000000" w:rsidRPr="00000000">
        <w:rPr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F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Every summer we travel around Europe.</w:t>
      </w:r>
    </w:p>
    <w:p w:rsidR="00000000" w:rsidDel="00000000" w:rsidP="00000000" w:rsidRDefault="00000000" w:rsidRPr="00000000" w14:paraId="0000001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Dneska ráno jsme se procházeli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po parku</w:t>
      </w:r>
      <w:r w:rsidDel="00000000" w:rsidR="00000000" w:rsidRPr="00000000">
        <w:rPr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morning we walked around the park.</w:t>
      </w:r>
    </w:p>
    <w:p w:rsidR="00000000" w:rsidDel="00000000" w:rsidP="00000000" w:rsidRDefault="00000000" w:rsidRPr="00000000" w14:paraId="0000001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Když jsem v novém městě, často se koukám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po okolí</w:t>
      </w:r>
      <w:r w:rsidDel="00000000" w:rsidR="00000000" w:rsidRPr="00000000">
        <w:rPr>
          <w:i w:val="1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When I’m in a new area, I often look around the surroundings/area.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We see these constructions when talking about some holiday traditions:</w:t>
      </w:r>
    </w:p>
    <w:p w:rsidR="00000000" w:rsidDel="00000000" w:rsidP="00000000" w:rsidRDefault="00000000" w:rsidRPr="00000000" w14:paraId="00000019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rHeight w:val="27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914525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2"/>
                            <a:srcRect b="0" l="0" r="0" t="102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145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rPr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</w:rPr>
                <w:drawing>
                  <wp:inline distB="114300" distT="114300" distL="114300" distR="114300">
                    <wp:extent cx="2838450" cy="1892300"/>
                    <wp:effectExtent b="0" l="0" r="0" t="0"/>
                    <wp:docPr id="3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4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8923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2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Na velikonoční pondělí mladí chlapci chodí po domech koledovat a mrskají holky pomlázkou.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Na Halloween se děti převlékají do kostýmů a chodí po okolí a říkají “Trick or Treat”. </w:t>
            </w:r>
          </w:p>
        </w:tc>
      </w:tr>
    </w:tbl>
    <w:p w:rsidR="00000000" w:rsidDel="00000000" w:rsidP="00000000" w:rsidRDefault="00000000" w:rsidRPr="00000000" w14:paraId="0000001E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Note that we see these with indeterminate verbs, since they are used for goal-less motion (see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9.7 - Indeterminate Verbs (</w:t>
        </w:r>
      </w:hyperlink>
      <w:hyperlink r:id="rId16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chodit</w:t>
        </w:r>
      </w:hyperlink>
      <w:hyperlink r:id="rId1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, </w:t>
        </w:r>
      </w:hyperlink>
      <w:hyperlink r:id="rId18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jezdit</w:t>
        </w:r>
      </w:hyperlink>
      <w:hyperlink r:id="rId1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) and goal-less motion</w:t>
        </w:r>
      </w:hyperlink>
      <w:r w:rsidDel="00000000" w:rsidR="00000000" w:rsidRPr="00000000">
        <w:rPr>
          <w:sz w:val="24"/>
          <w:szCs w:val="24"/>
          <w:rtl w:val="0"/>
        </w:rPr>
        <w:t xml:space="preserve">)</w:t>
      </w:r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0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Images used in this document come from </w:t>
      </w:r>
      <w:hyperlink r:id="rId2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3">
      <w:pPr>
        <w:pageBreakBefore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ocs.google.com/document/d/14tCPdHe1gK5tCShdXGDvySqLB4oCcHbBVnYk_bzwABI/edit#heading=h.9a5b11yt5cmb" TargetMode="External"/><Relationship Id="rId11" Type="http://schemas.openxmlformats.org/officeDocument/2006/relationships/hyperlink" Target="https://commons.wikimedia.org/wiki/File:14_Vranov._Poml%C3%A1zka_v_Bezd%C4%9Bkov%C4%9B.JPG" TargetMode="External"/><Relationship Id="rId10" Type="http://schemas.openxmlformats.org/officeDocument/2006/relationships/image" Target="media/image4.png"/><Relationship Id="rId13" Type="http://schemas.openxmlformats.org/officeDocument/2006/relationships/hyperlink" Target="https://pixabay.com/en/photos/trick%20or%20treat/" TargetMode="External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yperlink" Target="https://docs.google.com/document/d/e/2PACX-1vSPaUQnUXafXDWNZl7Uhlv8Lvk39-9OsTUsrYeDRWgNaTY19h0n5JdwGEsjnAmc-c3Vd-w4G7fplupv/pub" TargetMode="External"/><Relationship Id="rId14" Type="http://schemas.openxmlformats.org/officeDocument/2006/relationships/image" Target="media/image1.png"/><Relationship Id="rId17" Type="http://schemas.openxmlformats.org/officeDocument/2006/relationships/hyperlink" Target="https://docs.google.com/document/d/e/2PACX-1vSPaUQnUXafXDWNZl7Uhlv8Lvk39-9OsTUsrYeDRWgNaTY19h0n5JdwGEsjnAmc-c3Vd-w4G7fplupv/pub" TargetMode="External"/><Relationship Id="rId16" Type="http://schemas.openxmlformats.org/officeDocument/2006/relationships/hyperlink" Target="https://docs.google.com/document/d/e/2PACX-1vSPaUQnUXafXDWNZl7Uhlv8Lvk39-9OsTUsrYeDRWgNaTY19h0n5JdwGEsjnAmc-c3Vd-w4G7fplupv/pub" TargetMode="External"/><Relationship Id="rId5" Type="http://schemas.openxmlformats.org/officeDocument/2006/relationships/styles" Target="styles.xml"/><Relationship Id="rId19" Type="http://schemas.openxmlformats.org/officeDocument/2006/relationships/hyperlink" Target="https://docs.google.com/document/d/e/2PACX-1vSPaUQnUXafXDWNZl7Uhlv8Lvk39-9OsTUsrYeDRWgNaTY19h0n5JdwGEsjnAmc-c3Vd-w4G7fplupv/pub" TargetMode="External"/><Relationship Id="rId6" Type="http://schemas.openxmlformats.org/officeDocument/2006/relationships/hyperlink" Target="https://pxhere.com/en/photo/1281059" TargetMode="External"/><Relationship Id="rId18" Type="http://schemas.openxmlformats.org/officeDocument/2006/relationships/hyperlink" Target="https://docs.google.com/document/d/e/2PACX-1vSPaUQnUXafXDWNZl7Uhlv8Lvk39-9OsTUsrYeDRWgNaTY19h0n5JdwGEsjnAmc-c3Vd-w4G7fplupv/pub" TargetMode="External"/><Relationship Id="rId7" Type="http://schemas.openxmlformats.org/officeDocument/2006/relationships/image" Target="media/image2.png"/><Relationship Id="rId8" Type="http://schemas.openxmlformats.org/officeDocument/2006/relationships/hyperlink" Target="https://pxhere.com/en/photo/7074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