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m3vrhd1oyokn" w:id="0"/>
      <w:bookmarkEnd w:id="0"/>
      <w:r w:rsidDel="00000000" w:rsidR="00000000" w:rsidRPr="00000000">
        <w:rPr>
          <w:rtl w:val="0"/>
        </w:rPr>
        <w:t xml:space="preserve">8.1 - mít rád - review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b w:val="1"/>
        </w:rPr>
      </w:pPr>
      <w:r w:rsidDel="00000000" w:rsidR="00000000" w:rsidRPr="00000000">
        <w:rPr>
          <w:b w:val="1"/>
          <w:i w:val="1"/>
          <w:rtl w:val="0"/>
        </w:rPr>
        <w:t xml:space="preserve">mít rád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  <w:t xml:space="preserve">The construction for saying that you like someone or something is the verb </w:t>
      </w:r>
      <w:r w:rsidDel="00000000" w:rsidR="00000000" w:rsidRPr="00000000">
        <w:rPr>
          <w:i w:val="1"/>
          <w:rtl w:val="0"/>
        </w:rPr>
        <w:t xml:space="preserve">mít </w:t>
      </w:r>
      <w:r w:rsidDel="00000000" w:rsidR="00000000" w:rsidRPr="00000000">
        <w:rPr>
          <w:rtl w:val="0"/>
        </w:rPr>
        <w:t xml:space="preserve"> in combination with the word </w:t>
      </w:r>
      <w:r w:rsidDel="00000000" w:rsidR="00000000" w:rsidRPr="00000000">
        <w:rPr>
          <w:i w:val="1"/>
          <w:rtl w:val="0"/>
        </w:rPr>
        <w:t xml:space="preserve">rád/a/i</w:t>
      </w:r>
      <w:r w:rsidDel="00000000" w:rsidR="00000000" w:rsidRPr="00000000">
        <w:rPr>
          <w:rtl w:val="0"/>
        </w:rPr>
        <w:t xml:space="preserve">. The person or thing you like should be put into the accusative case since it is the direct object of your liking. See the following examples: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4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04888" cy="1491792"/>
                    <wp:effectExtent b="0" l="0" r="0" t="0"/>
                    <wp:docPr id="5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4888" cy="149179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585913" cy="1423255"/>
                    <wp:effectExtent b="0" l="0" r="0" t="0"/>
                    <wp:docPr id="3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85913" cy="142325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Mám rád ekonomii.</w:t>
            </w:r>
          </w:p>
          <w:p w:rsidR="00000000" w:rsidDel="00000000" w:rsidP="00000000" w:rsidRDefault="00000000" w:rsidRPr="00000000" w14:paraId="0000000A">
            <w:pPr>
              <w:pageBreakBefore w:val="0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I like economics.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Sára a Zdeněk mají rádi českou literaturu.</w:t>
            </w:r>
          </w:p>
          <w:p w:rsidR="00000000" w:rsidDel="00000000" w:rsidP="00000000" w:rsidRDefault="00000000" w:rsidRPr="00000000" w14:paraId="0000000C">
            <w:pPr>
              <w:pageBreakBefore w:val="0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Sára and Zdeněk like Czech literature.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Eva má ráda fyziku.</w:t>
            </w:r>
          </w:p>
          <w:p w:rsidR="00000000" w:rsidDel="00000000" w:rsidP="00000000" w:rsidRDefault="00000000" w:rsidRPr="00000000" w14:paraId="0000000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Sára likes physics.</w:t>
            </w:r>
          </w:p>
        </w:tc>
      </w:tr>
    </w:tbl>
    <w:p w:rsidR="00000000" w:rsidDel="00000000" w:rsidP="00000000" w:rsidRDefault="00000000" w:rsidRPr="00000000" w14:paraId="0000000F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  <w:t xml:space="preserve">The verb </w:t>
      </w:r>
      <w:r w:rsidDel="00000000" w:rsidR="00000000" w:rsidRPr="00000000">
        <w:rPr>
          <w:i w:val="1"/>
          <w:rtl w:val="0"/>
        </w:rPr>
        <w:t xml:space="preserve">mít</w:t>
      </w:r>
      <w:r w:rsidDel="00000000" w:rsidR="00000000" w:rsidRPr="00000000">
        <w:rPr>
          <w:rtl w:val="0"/>
        </w:rPr>
        <w:t xml:space="preserve"> is conjugated normally </w:t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580.0" w:type="dxa"/>
        <w:jc w:val="left"/>
        <w:tblInd w:w="5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10"/>
        <w:gridCol w:w="2520"/>
        <w:gridCol w:w="1755"/>
        <w:gridCol w:w="3195"/>
        <w:tblGridChange w:id="0">
          <w:tblGrid>
            <w:gridCol w:w="1110"/>
            <w:gridCol w:w="2520"/>
            <w:gridCol w:w="1755"/>
            <w:gridCol w:w="319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left w:color="000000" w:space="0" w:sz="0" w:val="nil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já</w:t>
            </w:r>
          </w:p>
        </w:tc>
        <w:tc>
          <w:tcPr>
            <w:tcBorders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mám rád</w:t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mám ráda</w:t>
            </w:r>
          </w:p>
        </w:tc>
        <w:tc>
          <w:tcPr>
            <w:tcBorders>
              <w:left w:color="000000" w:space="0" w:sz="36" w:val="single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máme rádi (rády)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000000" w:space="0" w:sz="0" w:val="nil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ty</w:t>
            </w:r>
          </w:p>
        </w:tc>
        <w:tc>
          <w:tcPr>
            <w:tcBorders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máš rád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máš ráda</w:t>
            </w:r>
          </w:p>
        </w:tc>
        <w:tc>
          <w:tcPr>
            <w:tcBorders>
              <w:left w:color="000000" w:space="0" w:sz="36" w:val="single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máte rádi (rády)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singular formal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máte rád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máte ráda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000000" w:space="0" w:sz="0" w:val="nil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on, ona, ono</w:t>
            </w:r>
          </w:p>
        </w:tc>
        <w:tc>
          <w:tcPr>
            <w:tcBorders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má rád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má ráda</w:t>
            </w:r>
          </w:p>
        </w:tc>
        <w:tc>
          <w:tcPr>
            <w:tcBorders>
              <w:left w:color="000000" w:space="0" w:sz="36" w:val="single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oni (ony, ona)</w:t>
            </w:r>
            <w:r w:rsidDel="00000000" w:rsidR="00000000" w:rsidRPr="00000000">
              <w:rPr>
                <w:i w:val="1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mají rádi (rády)</w:t>
            </w:r>
          </w:p>
        </w:tc>
      </w:tr>
    </w:tbl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b w:val="1"/>
          <w:i w:val="1"/>
        </w:rPr>
      </w:pPr>
      <w:r w:rsidDel="00000000" w:rsidR="00000000" w:rsidRPr="00000000">
        <w:rPr>
          <w:rtl w:val="0"/>
        </w:rPr>
        <w:t xml:space="preserve">Expressing you </w:t>
      </w:r>
      <w:r w:rsidDel="00000000" w:rsidR="00000000" w:rsidRPr="00000000">
        <w:rPr>
          <w:b w:val="1"/>
          <w:i w:val="1"/>
          <w:rtl w:val="0"/>
        </w:rPr>
        <w:t xml:space="preserve">don’t like</w:t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  <w:t xml:space="preserve">If you wish to express ‘don’t/doesn’t like’ in Czech, then the verb mít is negated, as in the examples which follow:</w:t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2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00150"/>
                    <wp:effectExtent b="0" l="0" r="0" t="0"/>
                    <wp:docPr id="1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6"/>
                            <a:srcRect b="0" l="0" r="22709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001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25417" cy="1395413"/>
                    <wp:effectExtent b="0" l="0" r="0" t="0"/>
                    <wp:docPr id="6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25417" cy="139541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Nemám rád ekonomii.</w:t>
            </w:r>
          </w:p>
          <w:p w:rsidR="00000000" w:rsidDel="00000000" w:rsidP="00000000" w:rsidRDefault="00000000" w:rsidRPr="00000000" w14:paraId="0000002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I don’t like economics.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Proč nemáš ráda biologii?</w:t>
            </w:r>
          </w:p>
          <w:p w:rsidR="00000000" w:rsidDel="00000000" w:rsidP="00000000" w:rsidRDefault="00000000" w:rsidRPr="00000000" w14:paraId="00000031">
            <w:pPr>
              <w:pageBreakBefore w:val="0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Why don’t you like biology?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Martin nemá rád umění.</w:t>
            </w:r>
          </w:p>
          <w:p w:rsidR="00000000" w:rsidDel="00000000" w:rsidP="00000000" w:rsidRDefault="00000000" w:rsidRPr="00000000" w14:paraId="0000003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Martin doesn’t like art.</w:t>
            </w:r>
          </w:p>
        </w:tc>
      </w:tr>
    </w:tbl>
    <w:p w:rsidR="00000000" w:rsidDel="00000000" w:rsidP="00000000" w:rsidRDefault="00000000" w:rsidRPr="00000000" w14:paraId="00000034">
      <w:pPr>
        <w:pageBreakBefore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>
          <w:i w:val="1"/>
        </w:rPr>
      </w:pPr>
      <w:r w:rsidDel="00000000" w:rsidR="00000000" w:rsidRPr="00000000">
        <w:rPr>
          <w:rtl w:val="0"/>
        </w:rPr>
        <w:t xml:space="preserve">Images used in this document come from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37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In Standard Czech there is also </w:t>
      </w:r>
      <w:r w:rsidDel="00000000" w:rsidR="00000000" w:rsidRPr="00000000">
        <w:rPr>
          <w:i w:val="1"/>
          <w:rtl w:val="0"/>
        </w:rPr>
        <w:t xml:space="preserve">ony </w:t>
      </w:r>
      <w:r w:rsidDel="00000000" w:rsidR="00000000" w:rsidRPr="00000000">
        <w:rPr>
          <w:rtl w:val="0"/>
        </w:rPr>
        <w:t xml:space="preserve">(for masculine inanimate and feminine subjects) and </w:t>
      </w:r>
      <w:r w:rsidDel="00000000" w:rsidR="00000000" w:rsidRPr="00000000">
        <w:rPr>
          <w:i w:val="1"/>
          <w:rtl w:val="0"/>
        </w:rPr>
        <w:t xml:space="preserve">ona </w:t>
      </w:r>
      <w:r w:rsidDel="00000000" w:rsidR="00000000" w:rsidRPr="00000000">
        <w:rPr>
          <w:rtl w:val="0"/>
        </w:rPr>
        <w:t xml:space="preserve">(for neuter plural subjects), but in Spoken Czech these forms are typically not used. Instead, </w:t>
      </w:r>
      <w:r w:rsidDel="00000000" w:rsidR="00000000" w:rsidRPr="00000000">
        <w:rPr>
          <w:i w:val="1"/>
          <w:rtl w:val="0"/>
        </w:rPr>
        <w:t xml:space="preserve">oni </w:t>
      </w:r>
      <w:r w:rsidDel="00000000" w:rsidR="00000000" w:rsidRPr="00000000">
        <w:rPr>
          <w:rtl w:val="0"/>
        </w:rPr>
        <w:t xml:space="preserve">is used consistently for all genders. Similarly, </w:t>
      </w:r>
      <w:r w:rsidDel="00000000" w:rsidR="00000000" w:rsidRPr="00000000">
        <w:rPr>
          <w:i w:val="1"/>
          <w:rtl w:val="0"/>
        </w:rPr>
        <w:t xml:space="preserve">rádi</w:t>
      </w:r>
      <w:r w:rsidDel="00000000" w:rsidR="00000000" w:rsidRPr="00000000">
        <w:rPr>
          <w:rtl w:val="0"/>
        </w:rPr>
        <w:t xml:space="preserve"> is the most common form in the plural, but the form </w:t>
      </w:r>
      <w:r w:rsidDel="00000000" w:rsidR="00000000" w:rsidRPr="00000000">
        <w:rPr>
          <w:i w:val="1"/>
          <w:rtl w:val="0"/>
        </w:rPr>
        <w:t xml:space="preserve">rády</w:t>
      </w:r>
      <w:r w:rsidDel="00000000" w:rsidR="00000000" w:rsidRPr="00000000">
        <w:rPr>
          <w:rtl w:val="0"/>
        </w:rPr>
        <w:t xml:space="preserve"> is technically what should be used for groups of women only.</w:t>
      </w: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ommons.wikimedia.org/wiki/File:P_physics.svg" TargetMode="External"/><Relationship Id="rId10" Type="http://schemas.openxmlformats.org/officeDocument/2006/relationships/image" Target="media/image3.png"/><Relationship Id="rId13" Type="http://schemas.openxmlformats.org/officeDocument/2006/relationships/hyperlink" Target="https://pixabay.com/en/economy-finance-success-business-1792514/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commons.wikimedia.org/wiki/File:Venceslav_cerny_erben_baje_a_povesti_slovanske.jpg" TargetMode="External"/><Relationship Id="rId15" Type="http://schemas.openxmlformats.org/officeDocument/2006/relationships/hyperlink" Target="https://pixabay.com/en/dna-string-biology-3d-1811955/" TargetMode="External"/><Relationship Id="rId14" Type="http://schemas.openxmlformats.org/officeDocument/2006/relationships/image" Target="media/image6.png"/><Relationship Id="rId17" Type="http://schemas.openxmlformats.org/officeDocument/2006/relationships/hyperlink" Target="https://www.pexels.com/photo/abstract-architecture-art-art-exhibition-297494/" TargetMode="External"/><Relationship Id="rId16" Type="http://schemas.openxmlformats.org/officeDocument/2006/relationships/image" Target="media/image4.png"/><Relationship Id="rId5" Type="http://schemas.openxmlformats.org/officeDocument/2006/relationships/numbering" Target="numbering.xml"/><Relationship Id="rId19" Type="http://schemas.openxmlformats.org/officeDocument/2006/relationships/hyperlink" Target="https://docs.google.com/document/d/1HQqSIqnOQo0_cjj3ZbBSyDe-fgq1AEZhIxgZ_W4CIUA/edit#heading=h.c3sdhmjoo2z2" TargetMode="External"/><Relationship Id="rId6" Type="http://schemas.openxmlformats.org/officeDocument/2006/relationships/styles" Target="styles.xml"/><Relationship Id="rId18" Type="http://schemas.openxmlformats.org/officeDocument/2006/relationships/image" Target="media/image2.png"/><Relationship Id="rId7" Type="http://schemas.openxmlformats.org/officeDocument/2006/relationships/hyperlink" Target="https://pixabay.com/en/jar-beaker-lab-liquid-cup-bottle-1825274/" TargetMode="Externa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