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jl2sqjo1pq3z" w:id="0"/>
      <w:bookmarkEnd w:id="0"/>
      <w:r w:rsidDel="00000000" w:rsidR="00000000" w:rsidRPr="00000000">
        <w:rPr>
          <w:rtl w:val="0"/>
        </w:rPr>
        <w:t xml:space="preserve">7.2 - Ordinal Numbers (1st-12th)</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We already know </w:t>
      </w:r>
      <w:hyperlink r:id="rId6">
        <w:r w:rsidDel="00000000" w:rsidR="00000000" w:rsidRPr="00000000">
          <w:rPr>
            <w:color w:val="1155cc"/>
            <w:sz w:val="24"/>
            <w:szCs w:val="24"/>
            <w:u w:val="single"/>
            <w:rtl w:val="0"/>
          </w:rPr>
          <w:t xml:space="preserve">cardinal numerals</w:t>
        </w:r>
      </w:hyperlink>
      <w:r w:rsidDel="00000000" w:rsidR="00000000" w:rsidRPr="00000000">
        <w:rPr>
          <w:sz w:val="24"/>
          <w:szCs w:val="24"/>
          <w:rtl w:val="0"/>
        </w:rPr>
        <w:t xml:space="preserve">, which are the normal numbers we use for counting (1, 2, 3, 4,...). </w:t>
      </w:r>
      <w:r w:rsidDel="00000000" w:rsidR="00000000" w:rsidRPr="00000000">
        <w:rPr>
          <w:b w:val="1"/>
          <w:sz w:val="24"/>
          <w:szCs w:val="24"/>
          <w:rtl w:val="0"/>
        </w:rPr>
        <w:t xml:space="preserve">Note -- even if you think you remember them, take a moment to look over these, especially since it has some information about compound numbers we have not covered before</w:t>
      </w:r>
      <w:r w:rsidDel="00000000" w:rsidR="00000000" w:rsidRPr="00000000">
        <w:rPr>
          <w:sz w:val="24"/>
          <w:szCs w:val="24"/>
          <w:rtl w:val="0"/>
        </w:rPr>
        <w:t xml:space="preserve">. The table below lists ordinal numbers (first, second, third, etc. -- i.e. the numbers used to tell what order something comes in). These ordinal numbers are important especially in this chapter because we are learning how to state conversational time and eventually state the date. For now, we’re just going to learn 1st-12th, since for the moment this is all we’ll need for telling time.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240" w:line="240" w:lineRule="auto"/>
        <w:rPr>
          <w:sz w:val="24"/>
          <w:szCs w:val="24"/>
        </w:rPr>
      </w:pPr>
      <w:r w:rsidDel="00000000" w:rsidR="00000000" w:rsidRPr="00000000">
        <w:rPr>
          <w:rtl w:val="0"/>
        </w:rPr>
      </w:r>
    </w:p>
    <w:tbl>
      <w:tblPr>
        <w:tblStyle w:val="Table1"/>
        <w:tblW w:w="906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85"/>
        <w:gridCol w:w="2385"/>
        <w:gridCol w:w="990"/>
        <w:tblGridChange w:id="0">
          <w:tblGrid>
            <w:gridCol w:w="5685"/>
            <w:gridCol w:w="2385"/>
            <w:gridCol w:w="990"/>
          </w:tblGrid>
        </w:tblGridChange>
      </w:tblGrid>
      <w:tr>
        <w:trPr>
          <w:cantSplit w:val="0"/>
          <w:tblHeader w:val="0"/>
        </w:trPr>
        <w:tc>
          <w:tcPr>
            <w:vMerge w:val="restart"/>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As you can see from this table, many of the ordinal numbers look very much like their cardinal counterparts. You really can just memorize them, however here are a few things that might help you:</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rPr>
                <w:sz w:val="24"/>
                <w:szCs w:val="24"/>
              </w:rPr>
            </w:pPr>
            <w:r w:rsidDel="00000000" w:rsidR="00000000" w:rsidRPr="00000000">
              <w:rPr>
                <w:sz w:val="24"/>
                <w:szCs w:val="24"/>
                <w:rtl w:val="0"/>
              </w:rPr>
              <w:t xml:space="preserve">For many of them, all you have to do is add -ý.</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rPr>
                <w:sz w:val="24"/>
                <w:szCs w:val="24"/>
              </w:rPr>
            </w:pPr>
            <w:r w:rsidDel="00000000" w:rsidR="00000000" w:rsidRPr="00000000">
              <w:rPr>
                <w:sz w:val="24"/>
                <w:szCs w:val="24"/>
                <w:rtl w:val="0"/>
              </w:rPr>
              <w:t xml:space="preserve">For the numbers </w:t>
            </w:r>
            <w:r w:rsidDel="00000000" w:rsidR="00000000" w:rsidRPr="00000000">
              <w:rPr>
                <w:i w:val="1"/>
                <w:sz w:val="24"/>
                <w:szCs w:val="24"/>
                <w:rtl w:val="0"/>
              </w:rPr>
              <w:t xml:space="preserve">pět, devět, deset, dvacet, třicet</w:t>
            </w:r>
            <w:r w:rsidDel="00000000" w:rsidR="00000000" w:rsidRPr="00000000">
              <w:rPr>
                <w:sz w:val="24"/>
                <w:szCs w:val="24"/>
                <w:rtl w:val="0"/>
              </w:rPr>
              <w:t xml:space="preserve">, you just have to change </w:t>
            </w:r>
            <w:r w:rsidDel="00000000" w:rsidR="00000000" w:rsidRPr="00000000">
              <w:rPr>
                <w:i w:val="1"/>
                <w:sz w:val="24"/>
                <w:szCs w:val="24"/>
                <w:rtl w:val="0"/>
              </w:rPr>
              <w:t xml:space="preserve">-et/ět</w:t>
            </w:r>
            <w:r w:rsidDel="00000000" w:rsidR="00000000" w:rsidRPr="00000000">
              <w:rPr>
                <w:rFonts w:ascii="Arial Unicode MS" w:cs="Arial Unicode MS" w:eastAsia="Arial Unicode MS" w:hAnsi="Arial Unicode MS"/>
                <w:sz w:val="24"/>
                <w:szCs w:val="24"/>
                <w:rtl w:val="0"/>
              </w:rPr>
              <w:t xml:space="preserve"> → -</w:t>
            </w:r>
            <w:r w:rsidDel="00000000" w:rsidR="00000000" w:rsidRPr="00000000">
              <w:rPr>
                <w:i w:val="1"/>
                <w:sz w:val="24"/>
                <w:szCs w:val="24"/>
                <w:rtl w:val="0"/>
              </w:rPr>
              <w:t xml:space="preserve">átý</w:t>
            </w:r>
            <w:r w:rsidDel="00000000" w:rsidR="00000000" w:rsidRPr="00000000">
              <w:rPr>
                <w:sz w:val="24"/>
                <w:szCs w:val="24"/>
                <w:rtl w:val="0"/>
              </w:rPr>
              <w:t xml:space="preserve">, </w:t>
            </w:r>
            <w:r w:rsidDel="00000000" w:rsidR="00000000" w:rsidRPr="00000000">
              <w:rPr>
                <w:i w:val="1"/>
                <w:sz w:val="24"/>
                <w:szCs w:val="24"/>
                <w:rtl w:val="0"/>
              </w:rPr>
              <w:t xml:space="preserve">pět </w:t>
            </w: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i w:val="1"/>
                <w:sz w:val="24"/>
                <w:szCs w:val="24"/>
                <w:rtl w:val="0"/>
              </w:rPr>
              <w:t xml:space="preserve">pátý</w:t>
            </w:r>
            <w:r w:rsidDel="00000000" w:rsidR="00000000" w:rsidRPr="00000000">
              <w:rPr>
                <w:sz w:val="24"/>
                <w:szCs w:val="24"/>
                <w:rtl w:val="0"/>
              </w:rPr>
              <w:t xml:space="preserve">, </w:t>
            </w:r>
            <w:r w:rsidDel="00000000" w:rsidR="00000000" w:rsidRPr="00000000">
              <w:rPr>
                <w:i w:val="1"/>
                <w:sz w:val="24"/>
                <w:szCs w:val="24"/>
                <w:rtl w:val="0"/>
              </w:rPr>
              <w:t xml:space="preserve">dvacet </w:t>
            </w: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i w:val="1"/>
                <w:sz w:val="24"/>
                <w:szCs w:val="24"/>
                <w:rtl w:val="0"/>
              </w:rPr>
              <w:t xml:space="preserve">dvacátý</w:t>
            </w:r>
            <w:r w:rsidDel="00000000" w:rsidR="00000000" w:rsidRPr="00000000">
              <w:rPr>
                <w:sz w:val="24"/>
                <w:szCs w:val="24"/>
                <w:rtl w:val="0"/>
              </w:rPr>
              <w:t xml:space="preserve">, etc.</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rPr>
                <w:sz w:val="24"/>
                <w:szCs w:val="24"/>
              </w:rPr>
            </w:pPr>
            <w:r w:rsidDel="00000000" w:rsidR="00000000" w:rsidRPr="00000000">
              <w:rPr>
                <w:sz w:val="24"/>
                <w:szCs w:val="24"/>
                <w:rtl w:val="0"/>
              </w:rPr>
              <w:t xml:space="preserve">Note that with numbers such as 21st, 22nd, etc., both numbers in Czech are ordinal, i.e. </w:t>
            </w:r>
            <w:r w:rsidDel="00000000" w:rsidR="00000000" w:rsidRPr="00000000">
              <w:rPr>
                <w:i w:val="1"/>
                <w:sz w:val="24"/>
                <w:szCs w:val="24"/>
                <w:rtl w:val="0"/>
              </w:rPr>
              <w:t xml:space="preserve">dvacátý první</w:t>
            </w:r>
            <w:r w:rsidDel="00000000" w:rsidR="00000000" w:rsidRPr="00000000">
              <w:rPr>
                <w:sz w:val="24"/>
                <w:szCs w:val="24"/>
                <w:rtl w:val="0"/>
              </w:rPr>
              <w:t xml:space="preserve">.</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rPr>
                <w:rFonts w:ascii="Times New Roman" w:cs="Times New Roman" w:eastAsia="Times New Roman" w:hAnsi="Times New Roman"/>
                <w:sz w:val="24"/>
                <w:szCs w:val="24"/>
                <w:u w:val="none"/>
              </w:rPr>
            </w:pPr>
            <w:r w:rsidDel="00000000" w:rsidR="00000000" w:rsidRPr="00000000">
              <w:rPr>
                <w:b w:val="1"/>
                <w:sz w:val="24"/>
                <w:szCs w:val="24"/>
                <w:rtl w:val="0"/>
              </w:rPr>
              <w:t xml:space="preserve">Ordinal numbers are adjectives</w:t>
            </w:r>
            <w:r w:rsidDel="00000000" w:rsidR="00000000" w:rsidRPr="00000000">
              <w:rPr>
                <w:sz w:val="24"/>
                <w:szCs w:val="24"/>
                <w:rtl w:val="0"/>
              </w:rPr>
              <w:t xml:space="preserve"> and thus take normal adjectives endings. Just by looking at these, you can tell that most of them are hard stem adjectives (end in -ý), while </w:t>
            </w:r>
            <w:r w:rsidDel="00000000" w:rsidR="00000000" w:rsidRPr="00000000">
              <w:rPr>
                <w:i w:val="1"/>
                <w:sz w:val="24"/>
                <w:szCs w:val="24"/>
                <w:rtl w:val="0"/>
              </w:rPr>
              <w:t xml:space="preserve">první </w:t>
            </w:r>
            <w:r w:rsidDel="00000000" w:rsidR="00000000" w:rsidRPr="00000000">
              <w:rPr>
                <w:sz w:val="24"/>
                <w:szCs w:val="24"/>
                <w:rtl w:val="0"/>
              </w:rPr>
              <w:t xml:space="preserve">and</w:t>
            </w:r>
            <w:r w:rsidDel="00000000" w:rsidR="00000000" w:rsidRPr="00000000">
              <w:rPr>
                <w:i w:val="1"/>
                <w:sz w:val="24"/>
                <w:szCs w:val="24"/>
                <w:rtl w:val="0"/>
              </w:rPr>
              <w:t xml:space="preserve"> třetí</w:t>
            </w:r>
            <w:r w:rsidDel="00000000" w:rsidR="00000000" w:rsidRPr="00000000">
              <w:rPr>
                <w:sz w:val="24"/>
                <w:szCs w:val="24"/>
                <w:rtl w:val="0"/>
              </w:rPr>
              <w:t xml:space="preserve"> are soft stem.</w:t>
            </w:r>
          </w:p>
        </w:tc>
        <w:tc>
          <w:tcPr>
            <w:tcBorders>
              <w:top w:color="000000" w:space="0" w:sz="0" w:val="nil"/>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první</w:t>
            </w:r>
          </w:p>
        </w:tc>
        <w:tc>
          <w:tcPr>
            <w:tcBorders>
              <w:top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1st</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druhý</w:t>
            </w:r>
          </w:p>
        </w:tc>
        <w:tc>
          <w:tcPr>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2nd</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třetí</w:t>
            </w:r>
          </w:p>
        </w:tc>
        <w:tc>
          <w:tcPr>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3rd</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čtvrtý</w:t>
            </w:r>
          </w:p>
        </w:tc>
        <w:tc>
          <w:tcPr>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4th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pátý</w:t>
            </w:r>
          </w:p>
        </w:tc>
        <w:tc>
          <w:tcPr>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5th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šestý</w:t>
            </w:r>
          </w:p>
        </w:tc>
        <w:tc>
          <w:tcPr>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6th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sedmý</w:t>
            </w:r>
          </w:p>
        </w:tc>
        <w:tc>
          <w:tcPr>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7th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osmý</w:t>
            </w:r>
          </w:p>
        </w:tc>
        <w:tc>
          <w:tcPr>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8th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devátý</w:t>
            </w:r>
          </w:p>
        </w:tc>
        <w:tc>
          <w:tcPr>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9th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desátý</w:t>
            </w:r>
          </w:p>
        </w:tc>
        <w:tc>
          <w:tcPr>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10th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jedenáctý</w:t>
            </w:r>
          </w:p>
        </w:tc>
        <w:tc>
          <w:tcPr>
            <w:tcBorders>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11th</w:t>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tc>
        <w:tc>
          <w:tcPr>
            <w:tcBorders>
              <w:bottom w:color="000000" w:space="0" w:sz="0" w:val="nil"/>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jc w:val="center"/>
              <w:rPr>
                <w:i w:val="1"/>
                <w:sz w:val="24"/>
                <w:szCs w:val="24"/>
              </w:rPr>
            </w:pPr>
            <w:r w:rsidDel="00000000" w:rsidR="00000000" w:rsidRPr="00000000">
              <w:rPr>
                <w:i w:val="1"/>
                <w:sz w:val="24"/>
                <w:szCs w:val="24"/>
                <w:rtl w:val="0"/>
              </w:rPr>
              <w:t xml:space="preserve">dvanáctý</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jc w:val="center"/>
              <w:rPr>
                <w:sz w:val="24"/>
                <w:szCs w:val="24"/>
              </w:rPr>
            </w:pPr>
            <w:r w:rsidDel="00000000" w:rsidR="00000000" w:rsidRPr="00000000">
              <w:rPr>
                <w:sz w:val="24"/>
                <w:szCs w:val="24"/>
                <w:rtl w:val="0"/>
              </w:rPr>
              <w:t xml:space="preserve">12th</w:t>
            </w:r>
          </w:p>
        </w:tc>
      </w:tr>
    </w:tbl>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before="0" w:line="240" w:lineRule="auto"/>
        <w:rPr>
          <w:sz w:val="24"/>
          <w:szCs w:val="24"/>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before="0" w:line="240" w:lineRule="auto"/>
        <w:rPr>
          <w:sz w:val="24"/>
          <w:szCs w:val="24"/>
        </w:rPr>
      </w:pPr>
      <w:r w:rsidDel="00000000" w:rsidR="00000000" w:rsidRPr="00000000">
        <w:rPr>
          <w:sz w:val="24"/>
          <w:szCs w:val="24"/>
          <w:rtl w:val="0"/>
        </w:rPr>
        <w:t xml:space="preserve">In Czech, these are either written out in full (první, druhý, etc.) or they are marked by putting a period after the number, so </w:t>
      </w:r>
      <w:r w:rsidDel="00000000" w:rsidR="00000000" w:rsidRPr="00000000">
        <w:rPr>
          <w:i w:val="1"/>
          <w:sz w:val="24"/>
          <w:szCs w:val="24"/>
          <w:rtl w:val="0"/>
        </w:rPr>
        <w:t xml:space="preserve">1. den = první den, 2. den = druhý den</w:t>
      </w:r>
      <w:r w:rsidDel="00000000" w:rsidR="00000000" w:rsidRPr="00000000">
        <w:rPr>
          <w:sz w:val="24"/>
          <w:szCs w:val="24"/>
          <w:rtl w:val="0"/>
        </w:rPr>
        <w:t xml:space="preserve">, etc.</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ThojWDmHVhrzMUJadmbkqe3iiEMzm7aN8KjC2VxPBv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