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i w:val="1"/>
          <w:iCs w:val="1"/>
        </w:rPr>
      </w:pPr>
      <w:bookmarkStart w:colFirst="0" w:colLast="0" w:name="_btdk2gobq5le" w:id="0"/>
      <w:bookmarkEnd w:id="0"/>
      <w:r w:rsidDel="00000000" w:rsidR="00000000" w:rsidRPr="00000000">
        <w:rPr>
          <w:rtl w:val="0"/>
        </w:rPr>
        <w:t xml:space="preserve">1.7 - Unchanging </w:t>
      </w:r>
      <w:r w:rsidDel="00000000" w:rsidR="00000000" w:rsidRPr="00000000">
        <w:rPr>
          <w:i w:val="1"/>
          <w:iCs w:val="1"/>
          <w:rtl w:val="0"/>
        </w:rPr>
        <w:t xml:space="preserve">to</w:t>
      </w:r>
      <w:r w:rsidDel="00000000" w:rsidR="00000000" w:rsidRPr="00000000">
        <w:rPr>
          <w:rtl w:val="0"/>
        </w:rPr>
        <w:t xml:space="preserve"> vs. Demonstrative </w:t>
      </w:r>
      <w:r w:rsidDel="00000000" w:rsidR="00000000" w:rsidRPr="00000000">
        <w:rPr>
          <w:i w:val="1"/>
          <w:iCs w:val="1"/>
          <w:rtl w:val="0"/>
        </w:rPr>
        <w:t xml:space="preserve">ten, ta, to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810000" cy="38100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0" cy="381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previous section, we learned the forms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ten, ta, to</w:t>
      </w:r>
      <w:r w:rsidDel="00000000" w:rsidR="00000000" w:rsidRPr="00000000">
        <w:rPr>
          <w:sz w:val="24"/>
          <w:szCs w:val="24"/>
          <w:rtl w:val="0"/>
        </w:rPr>
        <w:t xml:space="preserve"> as the masculine, feminine, and neuter forms of the demonstrative. </w:t>
      </w:r>
      <w:r w:rsidDel="00000000" w:rsidR="00000000" w:rsidRPr="00000000">
        <w:rPr>
          <w:sz w:val="24"/>
          <w:szCs w:val="24"/>
          <w:rtl w:val="0"/>
        </w:rPr>
        <w:t xml:space="preserve">Whenever you are saying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that professor is...</w:t>
      </w:r>
      <w:r w:rsidDel="00000000" w:rsidR="00000000" w:rsidRPr="00000000">
        <w:rPr>
          <w:sz w:val="24"/>
          <w:szCs w:val="24"/>
          <w:rtl w:val="0"/>
        </w:rPr>
        <w:t xml:space="preserve"> 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that chair is...</w:t>
      </w:r>
      <w:r w:rsidDel="00000000" w:rsidR="00000000" w:rsidRPr="00000000">
        <w:rPr>
          <w:sz w:val="24"/>
          <w:szCs w:val="24"/>
          <w:rtl w:val="0"/>
        </w:rPr>
        <w:t xml:space="preserve">, you will use the forms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ten, ta, to</w:t>
      </w:r>
      <w:r w:rsidDel="00000000" w:rsidR="00000000" w:rsidRPr="00000000">
        <w:rPr>
          <w:sz w:val="24"/>
          <w:szCs w:val="24"/>
          <w:rtl w:val="0"/>
        </w:rPr>
        <w:t xml:space="preserve"> which match the gender of the noun that follows.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Ten profesor je nový.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‘That professor is new’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 profesorka se jmenuje paní Nováková.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‘That professor’s name is Mrs. Nováková’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pageBreakBefore w:val="0"/>
        <w:spacing w:line="240" w:lineRule="auto"/>
        <w:rPr/>
      </w:pPr>
      <w:bookmarkStart w:colFirst="0" w:colLast="0" w:name="_m6wdp5pal6nd" w:id="1"/>
      <w:bookmarkEnd w:id="1"/>
      <w:r w:rsidDel="00000000" w:rsidR="00000000" w:rsidRPr="00000000">
        <w:rPr>
          <w:rtl w:val="0"/>
        </w:rPr>
        <w:t xml:space="preserve">Unchanging </w:t>
      </w:r>
      <w:r w:rsidDel="00000000" w:rsidR="00000000" w:rsidRPr="00000000">
        <w:rPr>
          <w:i w:val="1"/>
          <w:iCs w:val="1"/>
          <w:rtl w:val="0"/>
        </w:rPr>
        <w:t xml:space="preserve">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 are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identifying </w:t>
      </w:r>
      <w:r w:rsidDel="00000000" w:rsidR="00000000" w:rsidRPr="00000000">
        <w:rPr>
          <w:sz w:val="24"/>
          <w:szCs w:val="24"/>
          <w:rtl w:val="0"/>
        </w:rPr>
        <w:t xml:space="preserve">a person or an object, in English you would typically say “That is…”, such as “That is a dog” or “That is a car.” In Czech this is always going to be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 je..</w:t>
      </w:r>
      <w:r w:rsidDel="00000000" w:rsidR="00000000" w:rsidRPr="00000000">
        <w:rPr>
          <w:sz w:val="24"/>
          <w:szCs w:val="24"/>
          <w:rtl w:val="0"/>
        </w:rPr>
        <w:t xml:space="preserve">. For a review of these forms, see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1.1 - Grammar Explanation - </w:t>
        </w:r>
      </w:hyperlink>
      <w:hyperlink r:id="rId9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Co to je?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***IMPORTANT RULE - to say “This is/That is…” you will say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To je…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or Tohle je. You will never need to change the word to, regardless of the gender of the noun that follows***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So, whenever you are answering the questions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Kdo to je?/Co to je?</w:t>
      </w:r>
      <w:r w:rsidDel="00000000" w:rsidR="00000000" w:rsidRPr="00000000">
        <w:rPr>
          <w:sz w:val="24"/>
          <w:szCs w:val="24"/>
          <w:rtl w:val="0"/>
        </w:rPr>
        <w:t xml:space="preserve">, you should respond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 je</w:t>
      </w:r>
      <w:r w:rsidDel="00000000" w:rsidR="00000000" w:rsidRPr="00000000">
        <w:rPr>
          <w:sz w:val="24"/>
          <w:szCs w:val="24"/>
          <w:rtl w:val="0"/>
        </w:rPr>
        <w:t xml:space="preserve">... Take a look at the following examples: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 je nový profesor.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‘That’s a new professor.’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 je kočka.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‘That’s is a cat.’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 je auto.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‘That’s a car.’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Now take a look at the following sentences. See if you make sense of the cases where it stays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 je</w:t>
      </w:r>
      <w:r w:rsidDel="00000000" w:rsidR="00000000" w:rsidRPr="00000000">
        <w:rPr>
          <w:sz w:val="24"/>
          <w:szCs w:val="24"/>
          <w:rtl w:val="0"/>
        </w:rPr>
        <w:t xml:space="preserve"> (or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tohle je</w:t>
      </w:r>
      <w:r w:rsidDel="00000000" w:rsidR="00000000" w:rsidRPr="00000000">
        <w:rPr>
          <w:sz w:val="24"/>
          <w:szCs w:val="24"/>
          <w:rtl w:val="0"/>
        </w:rPr>
        <w:t xml:space="preserve">) vs. the times that it changes (i.e.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ten, ta, to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auto není čisté.</w:t>
        <w:tab/>
        <w:tab/>
        <w:tab/>
        <w:t xml:space="preserve">This car is not clean.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je český slovník.</w:t>
        <w:tab/>
        <w:tab/>
        <w:tab/>
        <w:t xml:space="preserve">This is a Czech dictionary.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Kde je ten velký stůl?</w:t>
        <w:tab/>
        <w:tab/>
        <w:t xml:space="preserve">Where is that big table?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 český slovník je dobrý.</w:t>
        <w:tab/>
        <w:tab/>
        <w:t xml:space="preserve">That Czech dictionary is good.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 malý stůl je hnědý.</w:t>
        <w:tab/>
        <w:tab/>
        <w:t xml:space="preserve">That small table is brown.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 televize není nová.</w:t>
        <w:tab/>
        <w:tab/>
        <w:t xml:space="preserve">That television is not new.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je malá televize.</w:t>
        <w:tab/>
        <w:tab/>
        <w:tab/>
        <w:t xml:space="preserve">That is a small television.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 stará televize je velká.</w:t>
        <w:tab/>
        <w:tab/>
        <w:t xml:space="preserve">That old television is big.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Kde je to špinavé auto?</w:t>
        <w:tab/>
        <w:tab/>
        <w:t xml:space="preserve">Where is that dirty car?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Kdo je ten starý pán?</w:t>
        <w:tab/>
        <w:tab/>
        <w:t xml:space="preserve">Who is that old man?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je německé auto.</w:t>
        <w:tab/>
        <w:tab/>
        <w:tab/>
        <w:t xml:space="preserve">That is a German car.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je nový počítač.</w:t>
        <w:tab/>
        <w:tab/>
        <w:tab/>
        <w:t xml:space="preserve">That is a new computer.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zSVvQ1Po3k4-Sw8GvM3yMtkm03U0BWQ_nCFanxEs1Es/edit#heading=h.nw7i9z124lam" TargetMode="External"/><Relationship Id="rId9" Type="http://schemas.openxmlformats.org/officeDocument/2006/relationships/hyperlink" Target="https://realityczech.org/gdoc/#1xLUMHu9CIketmqA7Aiezk5ixb0Nw1Iglb22VyR3RSks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Stick_figure_-_choosing.jp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realityczech.org/gdoc/#1xLUMHu9CIketmqA7Aiezk5ixb0Nw1Iglb22VyR3RS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