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4mdza7m9sm6q" w:id="0"/>
      <w:bookmarkEnd w:id="0"/>
      <w:r w:rsidDel="00000000" w:rsidR="00000000" w:rsidRPr="00000000">
        <w:rPr>
          <w:rtl w:val="0"/>
        </w:rPr>
        <w:t xml:space="preserve">1 </w:t>
      </w:r>
      <w:r w:rsidDel="00000000" w:rsidR="00000000" w:rsidRPr="00000000">
        <w:rPr>
          <w:color w:val="ad3b7c"/>
          <w:rtl w:val="0"/>
        </w:rPr>
        <w:t xml:space="preserve">|</w:t>
      </w:r>
      <w:r w:rsidDel="00000000" w:rsidR="00000000" w:rsidRPr="00000000">
        <w:rPr>
          <w:rtl w:val="0"/>
        </w:rPr>
        <w:t xml:space="preserve"> 1 </w:t>
      </w:r>
      <w:r w:rsidDel="00000000" w:rsidR="00000000" w:rsidRPr="00000000">
        <w:rPr>
          <w:color w:val="ad3b7c"/>
          <w:rtl w:val="0"/>
        </w:rPr>
        <w:t xml:space="preserve">|</w:t>
      </w:r>
      <w:r w:rsidDel="00000000" w:rsidR="00000000" w:rsidRPr="00000000">
        <w:rPr>
          <w:rtl w:val="0"/>
        </w:rPr>
        <w:t xml:space="preserve"> Lekcija 4: Kako ste?</w:t>
      </w:r>
    </w:p>
    <w:p w:rsidR="00000000" w:rsidDel="00000000" w:rsidP="00000000" w:rsidRDefault="00000000" w:rsidRPr="00000000" w14:paraId="00000002">
      <w:pPr>
        <w:pStyle w:val="Heading1"/>
        <w:rPr>
          <w:color w:val="000000"/>
        </w:rPr>
      </w:pPr>
      <w:bookmarkStart w:colFirst="0" w:colLast="0" w:name="_690ult46prkl" w:id="1"/>
      <w:bookmarkEnd w:id="1"/>
      <w:r w:rsidDel="00000000" w:rsidR="00000000" w:rsidRPr="00000000">
        <w:rPr>
          <w:rtl w:val="0"/>
        </w:rPr>
        <w:t xml:space="preserve">| </w:t>
      </w:r>
      <w:r w:rsidDel="00000000" w:rsidR="00000000" w:rsidRPr="00000000">
        <w:rPr>
          <w:color w:val="000000"/>
          <w:rtl w:val="0"/>
        </w:rPr>
        <w:t xml:space="preserve">Formal communication</w:t>
      </w:r>
    </w:p>
    <w:p w:rsidR="00000000" w:rsidDel="00000000" w:rsidP="00000000" w:rsidRDefault="00000000" w:rsidRPr="00000000" w14:paraId="00000003">
      <w:pPr>
        <w:pStyle w:val="Heading2"/>
        <w:rPr/>
      </w:pPr>
      <w:bookmarkStart w:colFirst="0" w:colLast="0" w:name="_kllyebs34hkx" w:id="2"/>
      <w:bookmarkEnd w:id="2"/>
      <w:r w:rsidDel="00000000" w:rsidR="00000000" w:rsidRPr="00000000">
        <w:rPr>
          <w:color w:val="fccaeb"/>
          <w:rtl w:val="0"/>
        </w:rPr>
        <w:t xml:space="preserve">|</w:t>
      </w:r>
      <w:r w:rsidDel="00000000" w:rsidR="00000000" w:rsidRPr="00000000">
        <w:rPr>
          <w:rtl w:val="0"/>
        </w:rPr>
        <w:t xml:space="preserve"> TI or VI: Informal and Formal Forms of Addressing</w:t>
      </w:r>
    </w:p>
    <w:p w:rsidR="00000000" w:rsidDel="00000000" w:rsidP="00000000" w:rsidRDefault="00000000" w:rsidRPr="00000000" w14:paraId="00000004">
      <w:pPr>
        <w:rPr/>
      </w:pPr>
      <w:r w:rsidDel="00000000" w:rsidR="00000000" w:rsidRPr="00000000">
        <w:rPr>
          <w:rtl w:val="0"/>
        </w:rPr>
        <w:t xml:space="preserve">Deciding which of these forms you need depends on context and the relationship of the people involved, and it may take you some time to get used to making this distinction. When talking to one person, which form to use: ti or Vi?</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8745"/>
        <w:tblGridChange w:id="0">
          <w:tblGrid>
            <w:gridCol w:w="615"/>
            <w:gridCol w:w="8745"/>
          </w:tblGrid>
        </w:tblGridChange>
      </w:tblGrid>
      <w:tr>
        <w:trPr>
          <w:cantSplit w:val="0"/>
          <w:trHeight w:val="440" w:hRule="atLeast"/>
          <w:tblHeader w:val="0"/>
        </w:trPr>
        <w:tc>
          <w:tcPr>
            <w:gridSpan w:val="2"/>
            <w:tcBorders>
              <w:top w:color="000000" w:space="0" w:sz="0" w:val="nil"/>
              <w:left w:color="000000" w:space="0" w:sz="0" w:val="nil"/>
              <w:bottom w:color="000000" w:space="0" w:sz="0" w:val="nil"/>
              <w:right w:color="efefe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b w:val="1"/>
                <w:i w:val="1"/>
              </w:rPr>
            </w:pPr>
            <w:r w:rsidDel="00000000" w:rsidR="00000000" w:rsidRPr="00000000">
              <w:rPr>
                <w:rtl w:val="0"/>
              </w:rPr>
              <w:t xml:space="preserve">Generally, use </w:t>
            </w:r>
            <w:r w:rsidDel="00000000" w:rsidR="00000000" w:rsidRPr="00000000">
              <w:rPr>
                <w:b w:val="1"/>
                <w:i w:val="1"/>
                <w:rtl w:val="0"/>
              </w:rPr>
              <w:t xml:space="preserve">ti</w:t>
            </w:r>
          </w:p>
        </w:tc>
      </w:tr>
      <w:tr>
        <w:trPr>
          <w:cantSplit w:val="0"/>
          <w:tblHeader w:val="0"/>
        </w:trPr>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with a family member</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2</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with a close friend or peer (like another student)</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3</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with a child</w:t>
            </w:r>
          </w:p>
        </w:tc>
      </w:tr>
    </w:tbl>
    <w:p w:rsidR="00000000" w:rsidDel="00000000" w:rsidP="00000000" w:rsidRDefault="00000000" w:rsidRPr="00000000" w14:paraId="0000000D">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8745"/>
        <w:tblGridChange w:id="0">
          <w:tblGrid>
            <w:gridCol w:w="615"/>
            <w:gridCol w:w="8745"/>
          </w:tblGrid>
        </w:tblGridChange>
      </w:tblGrid>
      <w:tr>
        <w:trPr>
          <w:cantSplit w:val="0"/>
          <w:trHeight w:val="440" w:hRule="atLeast"/>
          <w:tblHeader w:val="0"/>
        </w:trPr>
        <w:tc>
          <w:tcPr>
            <w:gridSpan w:val="2"/>
            <w:tcBorders>
              <w:top w:color="000000" w:space="0" w:sz="0" w:val="nil"/>
              <w:left w:color="000000" w:space="0" w:sz="0" w:val="nil"/>
              <w:bottom w:color="000000" w:space="0" w:sz="0" w:val="nil"/>
              <w:right w:color="efefe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b w:val="1"/>
                <w:i w:val="1"/>
              </w:rPr>
            </w:pPr>
            <w:r w:rsidDel="00000000" w:rsidR="00000000" w:rsidRPr="00000000">
              <w:rPr>
                <w:rtl w:val="0"/>
              </w:rPr>
              <w:t xml:space="preserve">Generally, use </w:t>
            </w:r>
            <w:r w:rsidDel="00000000" w:rsidR="00000000" w:rsidRPr="00000000">
              <w:rPr>
                <w:b w:val="1"/>
                <w:i w:val="1"/>
                <w:rtl w:val="0"/>
              </w:rPr>
              <w:t xml:space="preserve">Vi</w:t>
            </w:r>
          </w:p>
        </w:tc>
      </w:tr>
      <w:tr>
        <w:trPr>
          <w:cantSplit w:val="0"/>
          <w:tblHeader w:val="0"/>
        </w:trPr>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with a person in authority</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2</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with a stranger (adult)</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3</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with a person you don't know well</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4</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with the elderly</w:t>
            </w:r>
          </w:p>
        </w:tc>
      </w:tr>
    </w:tbl>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❗*Note: as you can see, in writing, when referring to someone in a formal way, you need to use the pronoun [you all] with the capital “V” – Vi.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drawing>
                <wp:inline distB="114300" distT="114300" distL="114300" distR="114300">
                  <wp:extent cx="1847850" cy="1311873"/>
                  <wp:effectExtent b="0" l="0" r="0" t="0"/>
                  <wp:docPr id="10" name="image5.jpg"/>
                  <a:graphic>
                    <a:graphicData uri="http://schemas.openxmlformats.org/drawingml/2006/picture">
                      <pic:pic>
                        <pic:nvPicPr>
                          <pic:cNvPr id="0" name="image5.jpg"/>
                          <pic:cNvPicPr preferRelativeResize="0"/>
                        </pic:nvPicPr>
                        <pic:blipFill>
                          <a:blip r:embed="rId6"/>
                          <a:srcRect b="14229" l="0" r="0" t="16446"/>
                          <a:stretch>
                            <a:fillRect/>
                          </a:stretch>
                        </pic:blipFill>
                        <pic:spPr>
                          <a:xfrm>
                            <a:off x="0" y="0"/>
                            <a:ext cx="1847850" cy="131187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drawing>
                <wp:inline distB="114300" distT="114300" distL="114300" distR="114300">
                  <wp:extent cx="1847850" cy="1308100"/>
                  <wp:effectExtent b="0" l="0" r="0" t="0"/>
                  <wp:docPr id="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847850" cy="13081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drawing>
                <wp:inline distB="114300" distT="114300" distL="114300" distR="114300">
                  <wp:extent cx="1847850" cy="1311873"/>
                  <wp:effectExtent b="0" l="0" r="0" t="0"/>
                  <wp:docPr id="1" name="image8.png"/>
                  <a:graphic>
                    <a:graphicData uri="http://schemas.openxmlformats.org/drawingml/2006/picture">
                      <pic:pic>
                        <pic:nvPicPr>
                          <pic:cNvPr id="0" name="image8.png"/>
                          <pic:cNvPicPr preferRelativeResize="0"/>
                        </pic:nvPicPr>
                        <pic:blipFill>
                          <a:blip r:embed="rId8"/>
                          <a:srcRect b="8826" l="0" r="0" t="20780"/>
                          <a:stretch>
                            <a:fillRect/>
                          </a:stretch>
                        </pic:blipFill>
                        <pic:spPr>
                          <a:xfrm>
                            <a:off x="0" y="0"/>
                            <a:ext cx="1847850" cy="1311873"/>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ffffff"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jc w:val="center"/>
              <w:rPr/>
            </w:pPr>
            <w:r w:rsidDel="00000000" w:rsidR="00000000" w:rsidRPr="00000000">
              <w:rPr>
                <w:rtl w:val="0"/>
              </w:rPr>
              <w:t xml:space="preserve">Kako se ti zoveš?</w:t>
            </w:r>
          </w:p>
        </w:tc>
        <w:tc>
          <w:tcPr>
            <w:tcBorders>
              <w:top w:color="000000" w:space="0" w:sz="0" w:val="nil"/>
              <w:left w:color="ffffff" w:space="0" w:sz="48" w:val="single"/>
              <w:bottom w:color="000000" w:space="0" w:sz="0" w:val="nil"/>
              <w:right w:color="ffffff" w:space="0" w:sz="4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jc w:val="center"/>
              <w:rPr/>
            </w:pPr>
            <w:r w:rsidDel="00000000" w:rsidR="00000000" w:rsidRPr="00000000">
              <w:rPr>
                <w:rtl w:val="0"/>
              </w:rPr>
              <w:t xml:space="preserve">Kako se vi zovete?</w:t>
            </w:r>
          </w:p>
        </w:tc>
        <w:tc>
          <w:tcPr>
            <w:tcBorders>
              <w:top w:color="000000" w:space="0" w:sz="0" w:val="nil"/>
              <w:left w:color="ffffff" w:space="0" w:sz="48"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jc w:val="center"/>
              <w:rPr/>
            </w:pPr>
            <w:r w:rsidDel="00000000" w:rsidR="00000000" w:rsidRPr="00000000">
              <w:rPr>
                <w:rtl w:val="0"/>
              </w:rPr>
              <w:t xml:space="preserve">Kako se Vi zovete?</w:t>
            </w:r>
          </w:p>
        </w:tc>
      </w:tr>
    </w:tbl>
    <w:p w:rsidR="00000000" w:rsidDel="00000000" w:rsidP="00000000" w:rsidRDefault="00000000" w:rsidRPr="00000000" w14:paraId="00000020">
      <w:pPr>
        <w:pStyle w:val="Heading2"/>
        <w:rPr/>
      </w:pPr>
      <w:bookmarkStart w:colFirst="0" w:colLast="0" w:name="_b36yir5wag1a" w:id="3"/>
      <w:bookmarkEnd w:id="3"/>
      <w:r w:rsidDel="00000000" w:rsidR="00000000" w:rsidRPr="00000000">
        <w:rPr>
          <w:rtl w:val="0"/>
        </w:rPr>
        <w:t xml:space="preserve">What if you are addressing more than one person?</w:t>
      </w:r>
    </w:p>
    <w:p w:rsidR="00000000" w:rsidDel="00000000" w:rsidP="00000000" w:rsidRDefault="00000000" w:rsidRPr="00000000" w14:paraId="00000021">
      <w:pPr>
        <w:rPr/>
      </w:pPr>
      <w:r w:rsidDel="00000000" w:rsidR="00000000" w:rsidRPr="00000000">
        <w:rPr>
          <w:rtl w:val="0"/>
        </w:rPr>
        <w:t xml:space="preserve">If you are talking with more than one person, always use vi (lowercase ‘v’). In this instance ‘vi’ would be the equivalent of «you all» -- or «y'all» in parts of the US .</w:t>
      </w:r>
    </w:p>
    <w:p w:rsidR="00000000" w:rsidDel="00000000" w:rsidP="00000000" w:rsidRDefault="00000000" w:rsidRPr="00000000" w14:paraId="00000022">
      <w:pPr>
        <w:pStyle w:val="Heading2"/>
        <w:rPr/>
      </w:pPr>
      <w:bookmarkStart w:colFirst="0" w:colLast="0" w:name="_7kxpepyaqgd6" w:id="4"/>
      <w:bookmarkEnd w:id="4"/>
      <w:r w:rsidDel="00000000" w:rsidR="00000000" w:rsidRPr="00000000">
        <w:rPr>
          <w:rtl w:val="0"/>
        </w:rPr>
        <w:t xml:space="preserve">To summarize:</w:t>
      </w:r>
    </w:p>
    <w:p w:rsidR="00000000" w:rsidDel="00000000" w:rsidP="00000000" w:rsidRDefault="00000000" w:rsidRPr="00000000" w14:paraId="00000023">
      <w:pPr>
        <w:rPr/>
      </w:pPr>
      <w:r w:rsidDel="00000000" w:rsidR="00000000" w:rsidRPr="00000000">
        <w:rPr>
          <w:rtl w:val="0"/>
        </w:rPr>
        <w:t xml:space="preserve">When addressing one person, you will need to choose between the formal Vi or informal ti. When speaking to an adult, it is better to start off with the formal Vi. Since you will not offend anyone by being overly polite, it is always better to start your conversation by using Vi. If formality seems unnecessary, the native speaker may suggest switching to ti. They may say, Prijeđimo na ti. This is one of the phrases that Croats will say when they want to switch to informal language with you.</w:t>
      </w:r>
    </w:p>
    <w:p w:rsidR="00000000" w:rsidDel="00000000" w:rsidP="00000000" w:rsidRDefault="00000000" w:rsidRPr="00000000" w14:paraId="00000024">
      <w:pPr>
        <w:pStyle w:val="Heading1"/>
        <w:rPr>
          <w:color w:val="ad3b7c"/>
        </w:rPr>
      </w:pPr>
      <w:bookmarkStart w:colFirst="0" w:colLast="0" w:name="_s9yrovaro50h" w:id="5"/>
      <w:bookmarkEnd w:id="5"/>
      <w:r w:rsidDel="00000000" w:rsidR="00000000" w:rsidRPr="00000000">
        <w:rPr>
          <w:rtl w:val="0"/>
        </w:rPr>
        <w:t xml:space="preserve">1.1 Zadatak 12. Formalni i neformalni govor</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Read the following set of short dialogues and indicate whether they are examples of formal, informal, or neutral speech (used in both informal and formal situations).</w:t>
      </w:r>
    </w:p>
    <w:p w:rsidR="00000000" w:rsidDel="00000000" w:rsidP="00000000" w:rsidRDefault="00000000" w:rsidRPr="00000000" w14:paraId="00000026">
      <w:pPr>
        <w:rPr/>
      </w:pPr>
      <w:r w:rsidDel="00000000" w:rsidR="00000000" w:rsidRPr="00000000">
        <w:rPr>
          <w:rtl w:val="0"/>
        </w:rPr>
        <w:t xml:space="preserve">[h5p id="13"] </w:t>
      </w:r>
    </w:p>
    <w:p w:rsidR="00000000" w:rsidDel="00000000" w:rsidP="00000000" w:rsidRDefault="00000000" w:rsidRPr="00000000" w14:paraId="00000027">
      <w:pPr>
        <w:pStyle w:val="Heading1"/>
        <w:rPr/>
      </w:pPr>
      <w:bookmarkStart w:colFirst="0" w:colLast="0" w:name="_fpd5a1fnp55s" w:id="6"/>
      <w:bookmarkEnd w:id="6"/>
      <w:r w:rsidDel="00000000" w:rsidR="00000000" w:rsidRPr="00000000">
        <w:rPr>
          <w:rtl w:val="0"/>
        </w:rPr>
        <w:t xml:space="preserve">1.1 Zadatak 13. Pozdravi</w:t>
      </w:r>
    </w:p>
    <w:p w:rsidR="00000000" w:rsidDel="00000000" w:rsidP="00000000" w:rsidRDefault="00000000" w:rsidRPr="00000000" w14:paraId="00000028">
      <w:pPr>
        <w:rPr/>
      </w:pPr>
      <w:r w:rsidDel="00000000" w:rsidR="00000000" w:rsidRPr="00000000">
        <w:rPr>
          <w:rtl w:val="0"/>
        </w:rPr>
        <w:t xml:space="preserve">Listen to the following dialogues and choose if they represent formal or informal communication. </w:t>
      </w:r>
    </w:p>
    <w:p w:rsidR="00000000" w:rsidDel="00000000" w:rsidP="00000000" w:rsidRDefault="00000000" w:rsidRPr="00000000" w14:paraId="00000029">
      <w:pPr>
        <w:rPr/>
      </w:pPr>
      <w:r w:rsidDel="00000000" w:rsidR="00000000" w:rsidRPr="00000000">
        <w:rPr>
          <w:rtl w:val="0"/>
        </w:rPr>
        <w:t xml:space="preserve">[h5p id="677"]</w:t>
      </w:r>
    </w:p>
    <w:p w:rsidR="00000000" w:rsidDel="00000000" w:rsidP="00000000" w:rsidRDefault="00000000" w:rsidRPr="00000000" w14:paraId="0000002A">
      <w:pPr>
        <w:pStyle w:val="Heading1"/>
        <w:rPr/>
      </w:pPr>
      <w:bookmarkStart w:colFirst="0" w:colLast="0" w:name="_gppjld597498" w:id="7"/>
      <w:bookmarkEnd w:id="7"/>
      <w:r w:rsidDel="00000000" w:rsidR="00000000" w:rsidRPr="00000000">
        <w:rPr>
          <w:rtl w:val="0"/>
        </w:rPr>
        <w:t xml:space="preserve">1.1 Zadatak 14. Kako se zovu?</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i w:val="1"/>
                <w:sz w:val="24"/>
                <w:szCs w:val="24"/>
              </w:rPr>
              <w:drawing>
                <wp:inline distB="114300" distT="114300" distL="114300" distR="114300">
                  <wp:extent cx="1847850" cy="1320800"/>
                  <wp:effectExtent b="0" l="0" r="0" t="0"/>
                  <wp:docPr id="7" name="image6.jpg"/>
                  <a:graphic>
                    <a:graphicData uri="http://schemas.openxmlformats.org/drawingml/2006/picture">
                      <pic:pic>
                        <pic:nvPicPr>
                          <pic:cNvPr id="0" name="image6.jpg"/>
                          <pic:cNvPicPr preferRelativeResize="0"/>
                        </pic:nvPicPr>
                        <pic:blipFill>
                          <a:blip r:embed="rId6"/>
                          <a:srcRect b="14229" l="0" r="0" t="16446"/>
                          <a:stretch>
                            <a:fillRect/>
                          </a:stretch>
                        </pic:blipFill>
                        <pic:spPr>
                          <a:xfrm>
                            <a:off x="0" y="0"/>
                            <a:ext cx="1847850" cy="13208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i w:val="1"/>
                <w:sz w:val="24"/>
                <w:szCs w:val="24"/>
              </w:rPr>
              <w:drawing>
                <wp:inline distB="114300" distT="114300" distL="114300" distR="114300">
                  <wp:extent cx="1847850" cy="1308100"/>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47850" cy="13081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i w:val="1"/>
                <w:sz w:val="24"/>
                <w:szCs w:val="24"/>
              </w:rPr>
              <w:drawing>
                <wp:inline distB="114300" distT="114300" distL="114300" distR="114300">
                  <wp:extent cx="1847850" cy="1320800"/>
                  <wp:effectExtent b="0" l="0" r="0" t="0"/>
                  <wp:docPr id="9" name="image9.png"/>
                  <a:graphic>
                    <a:graphicData uri="http://schemas.openxmlformats.org/drawingml/2006/picture">
                      <pic:pic>
                        <pic:nvPicPr>
                          <pic:cNvPr id="0" name="image9.png"/>
                          <pic:cNvPicPr preferRelativeResize="0"/>
                        </pic:nvPicPr>
                        <pic:blipFill>
                          <a:blip r:embed="rId8"/>
                          <a:srcRect b="8826" l="0" r="0" t="20780"/>
                          <a:stretch>
                            <a:fillRect/>
                          </a:stretch>
                        </pic:blipFill>
                        <pic:spPr>
                          <a:xfrm>
                            <a:off x="0" y="0"/>
                            <a:ext cx="1847850" cy="13208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pPr>
            <w:r w:rsidDel="00000000" w:rsidR="00000000" w:rsidRPr="00000000">
              <w:rPr>
                <w:rtl w:val="0"/>
              </w:rPr>
              <w:t xml:space="preserve">slika 1</w:t>
            </w:r>
          </w:p>
        </w:tc>
        <w:tc>
          <w:tcPr>
            <w:tcBorders>
              <w:top w:color="000000" w:space="0" w:sz="0" w:val="nil"/>
              <w:left w:color="ffffff" w:space="0" w:sz="24" w:val="single"/>
              <w:bottom w:color="000000" w:space="0" w:sz="0" w:val="nil"/>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jc w:val="center"/>
              <w:rPr/>
            </w:pPr>
            <w:r w:rsidDel="00000000" w:rsidR="00000000" w:rsidRPr="00000000">
              <w:rPr>
                <w:rtl w:val="0"/>
              </w:rPr>
              <w:t xml:space="preserve">slika 2</w:t>
            </w:r>
          </w:p>
        </w:tc>
        <w:tc>
          <w:tcPr>
            <w:tcBorders>
              <w:top w:color="000000" w:space="0" w:sz="0" w:val="nil"/>
              <w:left w:color="ffffff" w:space="0" w:sz="24" w:val="single"/>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center"/>
              <w:rPr/>
            </w:pPr>
            <w:r w:rsidDel="00000000" w:rsidR="00000000" w:rsidRPr="00000000">
              <w:rPr>
                <w:rtl w:val="0"/>
              </w:rPr>
              <w:t xml:space="preserve">slika 3</w:t>
            </w:r>
          </w:p>
        </w:tc>
      </w:tr>
    </w:tbl>
    <w:p w:rsidR="00000000" w:rsidDel="00000000" w:rsidP="00000000" w:rsidRDefault="00000000" w:rsidRPr="00000000" w14:paraId="00000031">
      <w:pPr>
        <w:rPr/>
      </w:pPr>
      <w:r w:rsidDel="00000000" w:rsidR="00000000" w:rsidRPr="00000000">
        <w:rPr>
          <w:rtl w:val="0"/>
        </w:rPr>
        <w:t xml:space="preserve">[h5p id="176"]</w:t>
      </w:r>
    </w:p>
    <w:p w:rsidR="00000000" w:rsidDel="00000000" w:rsidP="00000000" w:rsidRDefault="00000000" w:rsidRPr="00000000" w14:paraId="00000032">
      <w:pPr>
        <w:pStyle w:val="Heading1"/>
        <w:rPr/>
      </w:pPr>
      <w:bookmarkStart w:colFirst="0" w:colLast="0" w:name="_wc5l8wfjhc41" w:id="8"/>
      <w:bookmarkEnd w:id="8"/>
      <w:r w:rsidDel="00000000" w:rsidR="00000000" w:rsidRPr="00000000">
        <w:rPr>
          <w:rtl w:val="0"/>
        </w:rPr>
        <w:t xml:space="preserve">1.1 Zadatak 15. Upoznajmo se</w:t>
      </w:r>
    </w:p>
    <w:p w:rsidR="00000000" w:rsidDel="00000000" w:rsidP="00000000" w:rsidRDefault="00000000" w:rsidRPr="00000000" w14:paraId="00000033">
      <w:pPr>
        <w:rPr/>
      </w:pPr>
      <w:r w:rsidDel="00000000" w:rsidR="00000000" w:rsidRPr="00000000">
        <w:rPr>
          <w:rtl w:val="0"/>
        </w:rPr>
        <w:t xml:space="preserve">Look at the following pictures and read the dialogue components carefully. Complete the dialogue with the most appropriate missing information.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rPr>
                <w:sz w:val="24"/>
                <w:szCs w:val="24"/>
              </w:rPr>
            </w:pPr>
            <w:r w:rsidDel="00000000" w:rsidR="00000000" w:rsidRPr="00000000">
              <w:rPr>
                <w:sz w:val="24"/>
                <w:szCs w:val="24"/>
              </w:rPr>
              <w:drawing>
                <wp:inline distB="114300" distT="114300" distL="114300" distR="114300">
                  <wp:extent cx="2838450" cy="2895600"/>
                  <wp:effectExtent b="0" l="0" r="0" t="0"/>
                  <wp:docPr id="5"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838450" cy="289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t xml:space="preserve">[h5p id="177"]</w:t>
      </w:r>
    </w:p>
    <w:p w:rsidR="00000000" w:rsidDel="00000000" w:rsidP="00000000" w:rsidRDefault="00000000" w:rsidRPr="00000000" w14:paraId="00000037">
      <w:pPr>
        <w:rPr/>
      </w:pPr>
      <w:r w:rsidDel="00000000" w:rsidR="00000000" w:rsidRPr="00000000">
        <w:rPr>
          <w:rtl w:val="0"/>
        </w:rPr>
        <w:t xml:space="preserve">[h5p id="178"]</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drawing>
                <wp:inline distB="114300" distT="114300" distL="114300" distR="114300">
                  <wp:extent cx="2838450" cy="2895600"/>
                  <wp:effectExtent b="0" l="0" r="0" t="0"/>
                  <wp:docPr id="3"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2838450" cy="289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t xml:space="preserve">[h5p id="179"]</w:t>
      </w:r>
    </w:p>
    <w:p w:rsidR="00000000" w:rsidDel="00000000" w:rsidP="00000000" w:rsidRDefault="00000000" w:rsidRPr="00000000" w14:paraId="0000003B">
      <w:pPr>
        <w:rPr/>
      </w:pPr>
      <w:r w:rsidDel="00000000" w:rsidR="00000000" w:rsidRPr="00000000">
        <w:rPr>
          <w:rtl w:val="0"/>
        </w:rPr>
        <w:t xml:space="preserve">[h5p id="180"]</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Images used in this document are from </w:t>
      </w:r>
      <w:hyperlink r:id="rId11">
        <w:r w:rsidDel="00000000" w:rsidR="00000000" w:rsidRPr="00000000">
          <w:rPr>
            <w:color w:val="1155cc"/>
            <w:u w:val="single"/>
            <w:rtl w:val="0"/>
          </w:rPr>
          <w:t xml:space="preserve">these sources</w:t>
        </w:r>
      </w:hyperlink>
      <w:r w:rsidDel="00000000" w:rsidR="00000000" w:rsidRPr="00000000">
        <w:rPr>
          <w:rtl w:val="0"/>
        </w:rPr>
        <w:t xml:space="preserve">.</w:t>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rPr/>
    </w:pPr>
    <w:r w:rsidDel="00000000" w:rsidR="00000000" w:rsidRPr="00000000">
      <w:rPr/>
      <w:drawing>
        <wp:inline distB="114300" distT="114300" distL="114300" distR="114300">
          <wp:extent cx="941832" cy="32964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10.png"/>
          <a:graphic>
            <a:graphicData uri="http://schemas.openxmlformats.org/drawingml/2006/picture">
              <pic:pic>
                <pic:nvPicPr>
                  <pic:cNvPr id="0" name="image10.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jc w:val="right"/>
      <w:rPr>
        <w:b w:val="1"/>
        <w:sz w:val="24"/>
        <w:szCs w:val="24"/>
      </w:rPr>
    </w:pPr>
    <w:r w:rsidDel="00000000" w:rsidR="00000000" w:rsidRPr="00000000">
      <w:rPr>
        <w:b w:val="1"/>
        <w:sz w:val="28"/>
        <w:szCs w:val="28"/>
        <w:rtl w:val="0"/>
      </w:rPr>
      <w:t xml:space="preserve">1 |</w:t>
    </w:r>
    <w:r w:rsidDel="00000000" w:rsidR="00000000" w:rsidRPr="00000000">
      <w:rPr>
        <w:b w:val="1"/>
        <w:sz w:val="24"/>
        <w:szCs w:val="24"/>
        <w:rtl w:val="0"/>
      </w:rPr>
      <w:t xml:space="preserve"> Modul 1: Vokabular</w:t>
    </w:r>
  </w:p>
  <w:p w:rsidR="00000000" w:rsidDel="00000000" w:rsidP="00000000" w:rsidRDefault="00000000" w:rsidRPr="00000000" w14:paraId="00000040">
    <w:pPr>
      <w:pageBreakBefore w:val="0"/>
      <w:jc w:val="right"/>
      <w:rPr>
        <w:i w:val="1"/>
        <w:sz w:val="24"/>
        <w:szCs w:val="24"/>
      </w:rPr>
    </w:pPr>
    <w:r w:rsidDel="00000000" w:rsidR="00000000" w:rsidRPr="00000000">
      <w:rPr>
        <w:i w:val="1"/>
        <w:sz w:val="24"/>
        <w:szCs w:val="24"/>
        <w:rtl w:val="0"/>
      </w:rPr>
      <w:t xml:space="preserve">Moje ime je Bond, James Bond</w:t>
    </w:r>
  </w:p>
  <w:p w:rsidR="00000000" w:rsidDel="00000000" w:rsidP="00000000" w:rsidRDefault="00000000" w:rsidRPr="00000000" w14:paraId="00000041">
    <w:pPr>
      <w:pageBreakBefore w:val="0"/>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ad3b7c"/>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UXKvjuzzrbCUDZj9RNDPg0qj2MGGKA1GydqNmTx6Dkc/edit#heading=h.7pmba5o0zn6a" TargetMode="External"/><Relationship Id="rId10" Type="http://schemas.openxmlformats.org/officeDocument/2006/relationships/image" Target="media/image7.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3.jpg"/><Relationship Id="rId8"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