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bymtiwqpgno0"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2 </w:t>
      </w:r>
      <w:r w:rsidDel="00000000" w:rsidR="00000000" w:rsidRPr="00000000">
        <w:rPr>
          <w:color w:val="16a85c"/>
          <w:rtl w:val="0"/>
        </w:rPr>
        <w:t xml:space="preserve">|</w:t>
      </w:r>
      <w:r w:rsidDel="00000000" w:rsidR="00000000" w:rsidRPr="00000000">
        <w:rPr>
          <w:rtl w:val="0"/>
        </w:rPr>
        <w:t xml:space="preserve"> Lekcija 1: Prijevozna sredstva</w:t>
      </w:r>
    </w:p>
    <w:p w:rsidR="00000000" w:rsidDel="00000000" w:rsidP="00000000" w:rsidRDefault="00000000" w:rsidRPr="00000000" w14:paraId="00000002">
      <w:pPr>
        <w:pStyle w:val="Heading1"/>
        <w:rPr/>
      </w:pPr>
      <w:bookmarkStart w:colFirst="0" w:colLast="0" w:name="_xgp4m1v9mfmk" w:id="1"/>
      <w:bookmarkEnd w:id="1"/>
      <w:r w:rsidDel="00000000" w:rsidR="00000000" w:rsidRPr="00000000">
        <w:rPr>
          <w:color w:val="16a85c"/>
          <w:rtl w:val="0"/>
        </w:rPr>
        <w:t xml:space="preserve">|</w:t>
      </w:r>
      <w:r w:rsidDel="00000000" w:rsidR="00000000" w:rsidRPr="00000000">
        <w:rPr>
          <w:rtl w:val="0"/>
        </w:rPr>
        <w:t xml:space="preserve"> Riding on Transportation - Instrumental case</w:t>
      </w:r>
    </w:p>
    <w:p w:rsidR="00000000" w:rsidDel="00000000" w:rsidP="00000000" w:rsidRDefault="00000000" w:rsidRPr="00000000" w14:paraId="00000003">
      <w:pPr>
        <w:rPr/>
      </w:pPr>
      <w:r w:rsidDel="00000000" w:rsidR="00000000" w:rsidRPr="00000000">
        <w:rPr>
          <w:rtl w:val="0"/>
        </w:rPr>
        <w:t xml:space="preserve">In this lesson you saw that, when expressing the idea of going somewhere by [a car], Croatian uses a construction with the Instrumental case: </w:t>
      </w:r>
    </w:p>
    <w:p w:rsidR="00000000" w:rsidDel="00000000" w:rsidP="00000000" w:rsidRDefault="00000000" w:rsidRPr="00000000" w14:paraId="00000004">
      <w:pPr>
        <w:pStyle w:val="Heading3"/>
        <w:spacing w:line="240" w:lineRule="auto"/>
        <w:rPr/>
      </w:pPr>
      <w:bookmarkStart w:colFirst="0" w:colLast="0" w:name="_x96y9gevxyx1" w:id="2"/>
      <w:bookmarkEnd w:id="2"/>
      <w:r w:rsidDel="00000000" w:rsidR="00000000" w:rsidRPr="00000000">
        <w:rPr>
          <w:rtl w:val="0"/>
        </w:rPr>
        <w:t xml:space="preserve">| From our dialogues: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Laura: Želim putovati </w:t>
            </w:r>
            <w:r w:rsidDel="00000000" w:rsidR="00000000" w:rsidRPr="00000000">
              <w:rPr>
                <w:u w:val="single"/>
                <w:rtl w:val="0"/>
              </w:rPr>
              <w:t xml:space="preserve">avionom</w:t>
            </w:r>
            <w:r w:rsidDel="00000000" w:rsidR="00000000" w:rsidRPr="00000000">
              <w:rPr>
                <w:rtl w:val="0"/>
              </w:rPr>
              <w:t xml:space="preserve">, ali… ipak mislim da ću putovati </w:t>
            </w:r>
            <w:r w:rsidDel="00000000" w:rsidR="00000000" w:rsidRPr="00000000">
              <w:rPr>
                <w:u w:val="single"/>
                <w:rtl w:val="0"/>
              </w:rPr>
              <w:t xml:space="preserve">autobusom</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Matija: Ovaj put nećemo </w:t>
            </w:r>
            <w:r w:rsidDel="00000000" w:rsidR="00000000" w:rsidRPr="00000000">
              <w:rPr>
                <w:u w:val="single"/>
                <w:rtl w:val="0"/>
              </w:rPr>
              <w:t xml:space="preserve">autobusom</w:t>
            </w:r>
            <w:r w:rsidDel="00000000" w:rsidR="00000000" w:rsidRPr="00000000">
              <w:rPr>
                <w:rtl w:val="0"/>
              </w:rPr>
              <w:t xml:space="preserve">. Mislim da je bolje ići </w:t>
            </w:r>
            <w:r w:rsidDel="00000000" w:rsidR="00000000" w:rsidRPr="00000000">
              <w:rPr>
                <w:u w:val="single"/>
                <w:rtl w:val="0"/>
              </w:rPr>
              <w:t xml:space="preserve">autom</w:t>
            </w:r>
            <w:r w:rsidDel="00000000" w:rsidR="00000000" w:rsidRPr="00000000">
              <w:rPr>
                <w:rtl w:val="0"/>
              </w:rPr>
              <w:t xml:space="preserve">.</w:t>
            </w:r>
          </w:p>
        </w:tc>
      </w:tr>
    </w:tbl>
    <w:p w:rsidR="00000000" w:rsidDel="00000000" w:rsidP="00000000" w:rsidRDefault="00000000" w:rsidRPr="00000000" w14:paraId="00000007">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545"/>
        <w:tblGridChange w:id="0">
          <w:tblGrid>
            <w:gridCol w:w="1815"/>
            <w:gridCol w:w="7545"/>
          </w:tblGrid>
        </w:tblGridChange>
      </w:tblGrid>
      <w:tr>
        <w:trPr>
          <w:cantSplit w:val="0"/>
          <w:tblHeader w:val="0"/>
        </w:trPr>
        <w:tc>
          <w:tcPr>
            <w:tcBorders>
              <w:top w:color="000000" w:space="0" w:sz="0" w:val="nil"/>
              <w:left w:color="000000" w:space="0" w:sz="0" w:val="nil"/>
              <w:bottom w:color="5d8eaf" w:space="0" w:sz="18" w:val="single"/>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b w:val="1"/>
                <w:bCs w:val="1"/>
              </w:rPr>
            </w:pPr>
            <w:r w:rsidDel="00000000" w:rsidR="00000000" w:rsidRPr="00000000">
              <w:rPr>
                <w:b w:val="1"/>
                <w:bCs w:val="1"/>
                <w:rtl w:val="0"/>
              </w:rPr>
              <w:t xml:space="preserve">With Someone</w:t>
            </w:r>
          </w:p>
        </w:tc>
        <w:tc>
          <w:tcPr>
            <w:tcBorders>
              <w:top w:color="000000" w:space="0" w:sz="0" w:val="nil"/>
              <w:left w:color="5d8eaf" w:space="0" w:sz="18" w:val="single"/>
              <w:bottom w:color="5d8eaf"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r w:rsidDel="00000000" w:rsidR="00000000" w:rsidRPr="00000000">
              <w:rPr>
                <w:rtl w:val="0"/>
              </w:rPr>
              <w:t xml:space="preserve">When expressing the idea that you are traveling with someone, you need to use the preposition “s” – like in the example: </w:t>
            </w:r>
            <w:r w:rsidDel="00000000" w:rsidR="00000000" w:rsidRPr="00000000">
              <w:rPr>
                <w:i w:val="1"/>
                <w:iCs w:val="1"/>
                <w:rtl w:val="0"/>
              </w:rPr>
              <w:t xml:space="preserve">Putujem s bratom</w:t>
            </w:r>
            <w:r w:rsidDel="00000000" w:rsidR="00000000" w:rsidRPr="00000000">
              <w:rPr>
                <w:rtl w:val="0"/>
              </w:rPr>
              <w:t xml:space="preserve"> (I travel with [my] brother). </w:t>
            </w:r>
          </w:p>
        </w:tc>
      </w:tr>
      <w:tr>
        <w:trPr>
          <w:cantSplit w:val="0"/>
          <w:tblHeader w:val="0"/>
        </w:trPr>
        <w:tc>
          <w:tcPr>
            <w:tcBorders>
              <w:top w:color="5d8eaf" w:space="0" w:sz="18" w:val="single"/>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b w:val="1"/>
                <w:bCs w:val="1"/>
              </w:rPr>
            </w:pPr>
            <w:r w:rsidDel="00000000" w:rsidR="00000000" w:rsidRPr="00000000">
              <w:rPr>
                <w:b w:val="1"/>
                <w:bCs w:val="1"/>
                <w:rtl w:val="0"/>
              </w:rPr>
              <w:t xml:space="preserve">By Means of Something</w:t>
            </w:r>
          </w:p>
        </w:tc>
        <w:tc>
          <w:tcPr>
            <w:tcBorders>
              <w:top w:color="5d8eaf" w:space="0" w:sz="18" w:val="single"/>
              <w:left w:color="5d8eaf"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When expressing the idea of traveling with/by a certain form of transportation, there is no preposition involved, but you still use the Instrumental case: </w:t>
            </w:r>
            <w:r w:rsidDel="00000000" w:rsidR="00000000" w:rsidRPr="00000000">
              <w:rPr>
                <w:i w:val="1"/>
                <w:iCs w:val="1"/>
                <w:rtl w:val="0"/>
              </w:rPr>
              <w:t xml:space="preserve">Putujem</w:t>
            </w:r>
            <w:r w:rsidDel="00000000" w:rsidR="00000000" w:rsidRPr="00000000">
              <w:rPr>
                <w:i w:val="1"/>
                <w:iCs w:val="1"/>
                <w:rtl w:val="0"/>
              </w:rPr>
              <w:t xml:space="preserve"> brodom</w:t>
            </w:r>
            <w:r w:rsidDel="00000000" w:rsidR="00000000" w:rsidRPr="00000000">
              <w:rPr>
                <w:rtl w:val="0"/>
              </w:rPr>
              <w:t xml:space="preserve"> (I travel by boat).</w:t>
            </w:r>
          </w:p>
        </w:tc>
      </w:tr>
    </w:tbl>
    <w:p w:rsidR="00000000" w:rsidDel="00000000" w:rsidP="00000000" w:rsidRDefault="00000000" w:rsidRPr="00000000" w14:paraId="0000000C">
      <w:pPr>
        <w:pStyle w:val="Heading1"/>
        <w:rPr/>
      </w:pPr>
      <w:bookmarkStart w:colFirst="0" w:colLast="0" w:name="_wn9asyfsctpz" w:id="3"/>
      <w:bookmarkEnd w:id="3"/>
      <w:r w:rsidDel="00000000" w:rsidR="00000000" w:rsidRPr="00000000">
        <w:rPr>
          <w:color w:val="16a85c"/>
          <w:rtl w:val="0"/>
        </w:rPr>
        <w:t xml:space="preserve">|</w:t>
      </w:r>
      <w:r w:rsidDel="00000000" w:rsidR="00000000" w:rsidRPr="00000000">
        <w:rPr>
          <w:rtl w:val="0"/>
        </w:rPr>
        <w:t xml:space="preserve"> Motion verb + Accusative or Instrumental Case</w:t>
      </w:r>
    </w:p>
    <w:p w:rsidR="00000000" w:rsidDel="00000000" w:rsidP="00000000" w:rsidRDefault="00000000" w:rsidRPr="00000000" w14:paraId="0000000D">
      <w:pPr>
        <w:rPr/>
      </w:pPr>
      <w:r w:rsidDel="00000000" w:rsidR="00000000" w:rsidRPr="00000000">
        <w:rPr>
          <w:rtl w:val="0"/>
        </w:rPr>
        <w:t xml:space="preserve">We need to distinguish two sets of questions/answers when it comes to traveling and transportation.</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545"/>
        <w:tblGridChange w:id="0">
          <w:tblGrid>
            <w:gridCol w:w="1815"/>
            <w:gridCol w:w="7545"/>
          </w:tblGrid>
        </w:tblGridChange>
      </w:tblGrid>
      <w:tr>
        <w:trPr>
          <w:cantSplit w:val="0"/>
          <w:tblHeader w:val="0"/>
        </w:trPr>
        <w:tc>
          <w:tcPr>
            <w:tcBorders>
              <w:top w:color="000000" w:space="0" w:sz="0" w:val="nil"/>
              <w:left w:color="000000" w:space="0" w:sz="0" w:val="nil"/>
              <w:bottom w:color="5d8eaf" w:space="0" w:sz="18" w:val="single"/>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b w:val="1"/>
                <w:bCs w:val="1"/>
              </w:rPr>
            </w:pPr>
            <w:r w:rsidDel="00000000" w:rsidR="00000000" w:rsidRPr="00000000">
              <w:rPr>
                <w:b w:val="1"/>
                <w:bCs w:val="1"/>
                <w:rtl w:val="0"/>
              </w:rPr>
              <w:t xml:space="preserve">Kamo ideš?</w:t>
            </w:r>
          </w:p>
          <w:p w:rsidR="00000000" w:rsidDel="00000000" w:rsidP="00000000" w:rsidRDefault="00000000" w:rsidRPr="00000000" w14:paraId="0000000F">
            <w:pPr>
              <w:spacing w:line="240" w:lineRule="auto"/>
              <w:rPr/>
            </w:pPr>
            <w:r w:rsidDel="00000000" w:rsidR="00000000" w:rsidRPr="00000000">
              <w:rPr>
                <w:rtl w:val="0"/>
              </w:rPr>
            </w:r>
          </w:p>
          <w:p w:rsidR="00000000" w:rsidDel="00000000" w:rsidP="00000000" w:rsidRDefault="00000000" w:rsidRPr="00000000" w14:paraId="00000010">
            <w:pPr>
              <w:spacing w:line="240" w:lineRule="auto"/>
              <w:rPr>
                <w:i w:val="1"/>
                <w:iCs w:val="1"/>
              </w:rPr>
            </w:pPr>
            <w:r w:rsidDel="00000000" w:rsidR="00000000" w:rsidRPr="00000000">
              <w:rPr>
                <w:i w:val="1"/>
                <w:iCs w:val="1"/>
                <w:rtl w:val="0"/>
              </w:rPr>
              <w:t xml:space="preserve">Idem na vlak.</w:t>
            </w:r>
          </w:p>
        </w:tc>
        <w:tc>
          <w:tcPr>
            <w:tcBorders>
              <w:top w:color="000000" w:space="0" w:sz="0" w:val="nil"/>
              <w:left w:color="5d8eaf" w:space="0" w:sz="18" w:val="single"/>
              <w:bottom w:color="5d8eaf"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The question ‘Where do you go? / Where are you going?’ - implies asking for information about where someone is going. In this example, the answer implies that a person is going to catch a train.  </w:t>
            </w:r>
          </w:p>
        </w:tc>
      </w:tr>
      <w:tr>
        <w:trPr>
          <w:cantSplit w:val="0"/>
          <w:tblHeader w:val="0"/>
        </w:trPr>
        <w:tc>
          <w:tcPr>
            <w:tcBorders>
              <w:top w:color="5d8eaf" w:space="0" w:sz="18" w:val="single"/>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b w:val="1"/>
                <w:bCs w:val="1"/>
              </w:rPr>
            </w:pPr>
            <w:r w:rsidDel="00000000" w:rsidR="00000000" w:rsidRPr="00000000">
              <w:rPr>
                <w:b w:val="1"/>
                <w:bCs w:val="1"/>
                <w:rtl w:val="0"/>
              </w:rPr>
              <w:t xml:space="preserve">Čime ideš?</w:t>
            </w:r>
          </w:p>
          <w:p w:rsidR="00000000" w:rsidDel="00000000" w:rsidP="00000000" w:rsidRDefault="00000000" w:rsidRPr="00000000" w14:paraId="00000013">
            <w:pPr>
              <w:spacing w:line="240" w:lineRule="auto"/>
              <w:rPr/>
            </w:pPr>
            <w:r w:rsidDel="00000000" w:rsidR="00000000" w:rsidRPr="00000000">
              <w:rPr>
                <w:rtl w:val="0"/>
              </w:rPr>
            </w:r>
          </w:p>
          <w:p w:rsidR="00000000" w:rsidDel="00000000" w:rsidP="00000000" w:rsidRDefault="00000000" w:rsidRPr="00000000" w14:paraId="00000014">
            <w:pPr>
              <w:spacing w:line="240" w:lineRule="auto"/>
              <w:rPr>
                <w:i w:val="1"/>
                <w:iCs w:val="1"/>
              </w:rPr>
            </w:pPr>
            <w:r w:rsidDel="00000000" w:rsidR="00000000" w:rsidRPr="00000000">
              <w:rPr>
                <w:i w:val="1"/>
                <w:iCs w:val="1"/>
                <w:rtl w:val="0"/>
              </w:rPr>
              <w:t xml:space="preserve">Idem vlakom.</w:t>
            </w:r>
          </w:p>
        </w:tc>
        <w:tc>
          <w:tcPr>
            <w:tcBorders>
              <w:top w:color="5d8eaf" w:space="0" w:sz="18" w:val="single"/>
              <w:left w:color="5d8eaf"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The question here implies asking for information about the means by which someone is traveling. In this example, the answer implies that a person is going somewhere by train.</w:t>
            </w:r>
          </w:p>
        </w:tc>
      </w:tr>
    </w:tbl>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As you can see, in this situation the case ending really matters! Besides movement which expresses where to, there is another situation in which we need to distinguish the use of the Accusative vs Instrumental case. This involves the verb </w:t>
      </w:r>
      <w:r w:rsidDel="00000000" w:rsidR="00000000" w:rsidRPr="00000000">
        <w:rPr>
          <w:i w:val="1"/>
          <w:iCs w:val="1"/>
          <w:rtl w:val="0"/>
        </w:rPr>
        <w:t xml:space="preserve">voziti (se)</w:t>
      </w:r>
      <w:r w:rsidDel="00000000" w:rsidR="00000000" w:rsidRPr="00000000">
        <w:rPr>
          <w:rtl w:val="0"/>
        </w:rPr>
        <w:t xml:space="preserve"> - to drive (oneself).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545"/>
        <w:tblGridChange w:id="0">
          <w:tblGrid>
            <w:gridCol w:w="1815"/>
            <w:gridCol w:w="7545"/>
          </w:tblGrid>
        </w:tblGridChange>
      </w:tblGrid>
      <w:tr>
        <w:trPr>
          <w:cantSplit w:val="0"/>
          <w:tblHeader w:val="0"/>
        </w:trPr>
        <w:tc>
          <w:tcPr>
            <w:tcBorders>
              <w:top w:color="000000" w:space="0" w:sz="0" w:val="nil"/>
              <w:left w:color="000000" w:space="0" w:sz="0" w:val="nil"/>
              <w:bottom w:color="5d8eaf" w:space="0" w:sz="18" w:val="single"/>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b w:val="1"/>
                <w:bCs w:val="1"/>
              </w:rPr>
            </w:pPr>
            <w:r w:rsidDel="00000000" w:rsidR="00000000" w:rsidRPr="00000000">
              <w:rPr>
                <w:b w:val="1"/>
                <w:bCs w:val="1"/>
                <w:rtl w:val="0"/>
              </w:rPr>
              <w:t xml:space="preserve">Što voziš?</w:t>
            </w:r>
          </w:p>
          <w:p w:rsidR="00000000" w:rsidDel="00000000" w:rsidP="00000000" w:rsidRDefault="00000000" w:rsidRPr="00000000" w14:paraId="00000019">
            <w:pPr>
              <w:spacing w:line="240" w:lineRule="auto"/>
              <w:rPr/>
            </w:pPr>
            <w:r w:rsidDel="00000000" w:rsidR="00000000" w:rsidRPr="00000000">
              <w:rPr>
                <w:rtl w:val="0"/>
              </w:rPr>
            </w:r>
          </w:p>
          <w:p w:rsidR="00000000" w:rsidDel="00000000" w:rsidP="00000000" w:rsidRDefault="00000000" w:rsidRPr="00000000" w14:paraId="0000001A">
            <w:pPr>
              <w:spacing w:line="240" w:lineRule="auto"/>
              <w:rPr>
                <w:i w:val="1"/>
                <w:iCs w:val="1"/>
              </w:rPr>
            </w:pPr>
            <w:r w:rsidDel="00000000" w:rsidR="00000000" w:rsidRPr="00000000">
              <w:rPr>
                <w:i w:val="1"/>
                <w:iCs w:val="1"/>
                <w:rtl w:val="0"/>
              </w:rPr>
              <w:t xml:space="preserve">Vozim automobil.</w:t>
            </w:r>
          </w:p>
        </w:tc>
        <w:tc>
          <w:tcPr>
            <w:tcBorders>
              <w:top w:color="000000" w:space="0" w:sz="0" w:val="nil"/>
              <w:left w:color="5d8eaf" w:space="0" w:sz="18" w:val="single"/>
              <w:bottom w:color="5d8eaf"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If we use the transitive verb </w:t>
            </w:r>
            <w:r w:rsidDel="00000000" w:rsidR="00000000" w:rsidRPr="00000000">
              <w:rPr>
                <w:i w:val="1"/>
                <w:iCs w:val="1"/>
                <w:rtl w:val="0"/>
              </w:rPr>
              <w:t xml:space="preserve">voziti</w:t>
            </w:r>
            <w:r w:rsidDel="00000000" w:rsidR="00000000" w:rsidRPr="00000000">
              <w:rPr>
                <w:rtl w:val="0"/>
              </w:rPr>
              <w:t xml:space="preserve"> (to drive), then we need to use the Accusative case - </w:t>
            </w:r>
            <w:r w:rsidDel="00000000" w:rsidR="00000000" w:rsidRPr="00000000">
              <w:rPr>
                <w:i w:val="1"/>
                <w:iCs w:val="1"/>
                <w:rtl w:val="0"/>
              </w:rPr>
              <w:t xml:space="preserve">Vozim automobil</w:t>
            </w:r>
            <w:r w:rsidDel="00000000" w:rsidR="00000000" w:rsidRPr="00000000">
              <w:rPr>
                <w:rtl w:val="0"/>
              </w:rPr>
              <w:t xml:space="preserve">. (I drive [my] car.) </w:t>
            </w:r>
          </w:p>
        </w:tc>
      </w:tr>
      <w:tr>
        <w:trPr>
          <w:cantSplit w:val="0"/>
          <w:tblHeader w:val="0"/>
        </w:trPr>
        <w:tc>
          <w:tcPr>
            <w:tcBorders>
              <w:top w:color="5d8eaf" w:space="0" w:sz="18" w:val="single"/>
              <w:left w:color="000000" w:space="0" w:sz="0" w:val="nil"/>
              <w:bottom w:color="000000" w:space="0" w:sz="0" w:val="nil"/>
              <w:right w:color="5d8eaf"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b w:val="1"/>
                <w:bCs w:val="1"/>
              </w:rPr>
            </w:pPr>
            <w:r w:rsidDel="00000000" w:rsidR="00000000" w:rsidRPr="00000000">
              <w:rPr>
                <w:b w:val="1"/>
                <w:bCs w:val="1"/>
                <w:rtl w:val="0"/>
              </w:rPr>
              <w:t xml:space="preserve">Čime se voziš?</w:t>
            </w:r>
          </w:p>
          <w:p w:rsidR="00000000" w:rsidDel="00000000" w:rsidP="00000000" w:rsidRDefault="00000000" w:rsidRPr="00000000" w14:paraId="0000001D">
            <w:pPr>
              <w:spacing w:line="240" w:lineRule="auto"/>
              <w:rPr/>
            </w:pPr>
            <w:r w:rsidDel="00000000" w:rsidR="00000000" w:rsidRPr="00000000">
              <w:rPr>
                <w:rtl w:val="0"/>
              </w:rPr>
            </w:r>
          </w:p>
          <w:p w:rsidR="00000000" w:rsidDel="00000000" w:rsidP="00000000" w:rsidRDefault="00000000" w:rsidRPr="00000000" w14:paraId="0000001E">
            <w:pPr>
              <w:spacing w:line="240" w:lineRule="auto"/>
              <w:rPr>
                <w:i w:val="1"/>
                <w:iCs w:val="1"/>
              </w:rPr>
            </w:pPr>
            <w:r w:rsidDel="00000000" w:rsidR="00000000" w:rsidRPr="00000000">
              <w:rPr>
                <w:i w:val="1"/>
                <w:iCs w:val="1"/>
                <w:rtl w:val="0"/>
              </w:rPr>
              <w:t xml:space="preserve">Vozim se automobilom.</w:t>
            </w:r>
          </w:p>
        </w:tc>
        <w:tc>
          <w:tcPr>
            <w:tcBorders>
              <w:top w:color="5d8eaf" w:space="0" w:sz="18" w:val="single"/>
              <w:left w:color="5d8eaf"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t xml:space="preserve">If we use the reflexive verb </w:t>
            </w:r>
            <w:r w:rsidDel="00000000" w:rsidR="00000000" w:rsidRPr="00000000">
              <w:rPr>
                <w:i w:val="1"/>
                <w:iCs w:val="1"/>
                <w:rtl w:val="0"/>
              </w:rPr>
              <w:t xml:space="preserve">voziti se </w:t>
            </w:r>
            <w:r w:rsidDel="00000000" w:rsidR="00000000" w:rsidRPr="00000000">
              <w:rPr>
                <w:rtl w:val="0"/>
              </w:rPr>
              <w:t xml:space="preserve">(to drive in), then we need to use the Instrumental case - </w:t>
            </w:r>
            <w:r w:rsidDel="00000000" w:rsidR="00000000" w:rsidRPr="00000000">
              <w:rPr>
                <w:i w:val="1"/>
                <w:iCs w:val="1"/>
                <w:rtl w:val="0"/>
              </w:rPr>
              <w:t xml:space="preserve">Vozim se automobilom</w:t>
            </w:r>
            <w:r w:rsidDel="00000000" w:rsidR="00000000" w:rsidRPr="00000000">
              <w:rPr>
                <w:rtl w:val="0"/>
              </w:rPr>
              <w:t xml:space="preserve">. (I’m in the car.) </w:t>
            </w:r>
          </w:p>
        </w:tc>
      </w:tr>
    </w:tbl>
    <w:p w:rsidR="00000000" w:rsidDel="00000000" w:rsidP="00000000" w:rsidRDefault="00000000" w:rsidRPr="00000000" w14:paraId="00000020">
      <w:pPr>
        <w:pStyle w:val="Heading1"/>
        <w:rPr/>
      </w:pPr>
      <w:bookmarkStart w:colFirst="0" w:colLast="0" w:name="_pn5l2iamhhjr" w:id="4"/>
      <w:bookmarkEnd w:id="4"/>
      <w:r w:rsidDel="00000000" w:rsidR="00000000" w:rsidRPr="00000000">
        <w:rPr>
          <w:color w:val="16a85c"/>
          <w:rtl w:val="0"/>
        </w:rPr>
        <w:t xml:space="preserve">|</w:t>
      </w:r>
      <w:r w:rsidDel="00000000" w:rsidR="00000000" w:rsidRPr="00000000">
        <w:rPr>
          <w:rtl w:val="0"/>
        </w:rPr>
        <w:t xml:space="preserve"> Adjectives - Comparative forms</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hyperlink r:id="rId6">
              <w:r w:rsidDel="00000000" w:rsidR="00000000" w:rsidRPr="00000000">
                <w:rPr>
                  <w:color w:val="1155cc"/>
                  <w:u w:val="single"/>
                </w:rPr>
                <w:drawing>
                  <wp:inline distB="114300" distT="114300" distL="114300" distR="114300">
                    <wp:extent cx="1352550" cy="918223"/>
                    <wp:effectExtent b="0" l="0" r="0" t="0"/>
                    <wp:docPr id="9" name="image8.png"/>
                    <a:graphic>
                      <a:graphicData uri="http://schemas.openxmlformats.org/drawingml/2006/picture">
                        <pic:pic>
                          <pic:nvPicPr>
                            <pic:cNvPr id="0" name="image8.png"/>
                            <pic:cNvPicPr preferRelativeResize="0"/>
                          </pic:nvPicPr>
                          <pic:blipFill>
                            <a:blip r:embed="rId7"/>
                            <a:srcRect b="0" l="0" r="0" t="9540"/>
                            <a:stretch>
                              <a:fillRect/>
                            </a:stretch>
                          </pic:blipFill>
                          <pic:spPr>
                            <a:xfrm>
                              <a:off x="0" y="0"/>
                              <a:ext cx="1352550" cy="91822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jc w:val="center"/>
              <w:rPr/>
            </w:pPr>
            <w:hyperlink r:id="rId8">
              <w:r w:rsidDel="00000000" w:rsidR="00000000" w:rsidRPr="00000000">
                <w:rPr>
                  <w:color w:val="1155cc"/>
                  <w:u w:val="single"/>
                </w:rPr>
                <w:drawing>
                  <wp:inline distB="114300" distT="114300" distL="114300" distR="114300">
                    <wp:extent cx="1352550" cy="901700"/>
                    <wp:effectExtent b="0" l="0" r="0" t="0"/>
                    <wp:docPr id="6"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pPr>
            <w:hyperlink r:id="rId10">
              <w:r w:rsidDel="00000000" w:rsidR="00000000" w:rsidRPr="00000000">
                <w:rPr>
                  <w:color w:val="1155cc"/>
                  <w:u w:val="single"/>
                </w:rPr>
                <w:drawing>
                  <wp:inline distB="114300" distT="114300" distL="114300" distR="114300">
                    <wp:extent cx="1352550" cy="901700"/>
                    <wp:effectExtent b="0" l="0" r="0" t="0"/>
                    <wp:docPr id="3"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jc w:val="center"/>
              <w:rPr/>
            </w:pPr>
            <w:hyperlink r:id="rId12">
              <w:r w:rsidDel="00000000" w:rsidR="00000000" w:rsidRPr="00000000">
                <w:rPr>
                  <w:color w:val="1155cc"/>
                  <w:u w:val="single"/>
                </w:rPr>
                <w:drawing>
                  <wp:inline distB="114300" distT="114300" distL="114300" distR="114300">
                    <wp:extent cx="1352550" cy="901052"/>
                    <wp:effectExtent b="0" l="0" r="0" t="0"/>
                    <wp:docPr id="7" name="image10.png"/>
                    <a:graphic>
                      <a:graphicData uri="http://schemas.openxmlformats.org/drawingml/2006/picture">
                        <pic:pic>
                          <pic:nvPicPr>
                            <pic:cNvPr id="0" name="image10.png"/>
                            <pic:cNvPicPr preferRelativeResize="0"/>
                          </pic:nvPicPr>
                          <pic:blipFill>
                            <a:blip r:embed="rId13"/>
                            <a:srcRect b="5401" l="0" r="0" t="0"/>
                            <a:stretch>
                              <a:fillRect/>
                            </a:stretch>
                          </pic:blipFill>
                          <pic:spPr>
                            <a:xfrm>
                              <a:off x="0" y="0"/>
                              <a:ext cx="1352550" cy="90105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jc w:val="center"/>
              <w:rPr/>
            </w:pPr>
            <w:r w:rsidDel="00000000" w:rsidR="00000000" w:rsidRPr="00000000">
              <w:rPr>
                <w:rtl w:val="0"/>
              </w:rPr>
              <w:t xml:space="preserve">skup</w:t>
            </w:r>
          </w:p>
        </w:tc>
        <w:tc>
          <w:tcPr>
            <w:tcBorders>
              <w:top w:color="000000" w:space="0" w:sz="0" w:val="nil"/>
              <w:left w:color="ffffff" w:space="0" w:sz="24" w:val="single"/>
              <w:bottom w:color="000000" w:space="0" w:sz="18" w:val="single"/>
              <w:right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jc w:val="center"/>
              <w:rPr/>
            </w:pPr>
            <w:r w:rsidDel="00000000" w:rsidR="00000000" w:rsidRPr="00000000">
              <w:rPr>
                <w:rtl w:val="0"/>
              </w:rPr>
              <w:t xml:space="preserve">jeftin</w:t>
            </w:r>
          </w:p>
        </w:tc>
        <w:tc>
          <w:tcPr>
            <w:tcBorders>
              <w:top w:color="000000" w:space="0" w:sz="0" w:val="nil"/>
              <w:left w:color="000000" w:space="0" w:sz="18"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r w:rsidDel="00000000" w:rsidR="00000000" w:rsidRPr="00000000">
              <w:rPr>
                <w:rtl w:val="0"/>
              </w:rPr>
              <w:t xml:space="preserve">brz</w:t>
            </w:r>
          </w:p>
        </w:tc>
        <w:tc>
          <w:tcPr>
            <w:tcBorders>
              <w:top w:color="000000" w:space="0" w:sz="0" w:val="nil"/>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r w:rsidDel="00000000" w:rsidR="00000000" w:rsidRPr="00000000">
              <w:rPr>
                <w:rtl w:val="0"/>
              </w:rPr>
              <w:t xml:space="preserve">spor</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hyperlink r:id="rId14">
              <w:r w:rsidDel="00000000" w:rsidR="00000000" w:rsidRPr="00000000">
                <w:rPr>
                  <w:color w:val="1155cc"/>
                  <w:u w:val="single"/>
                </w:rPr>
                <w:drawing>
                  <wp:inline distB="114300" distT="114300" distL="114300" distR="114300">
                    <wp:extent cx="1352550" cy="901700"/>
                    <wp:effectExtent b="0" l="0" r="0" t="0"/>
                    <wp:docPr id="5"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hyperlink r:id="rId16">
              <w:r w:rsidDel="00000000" w:rsidR="00000000" w:rsidRPr="00000000">
                <w:rPr>
                  <w:color w:val="1155cc"/>
                  <w:u w:val="single"/>
                </w:rPr>
                <w:drawing>
                  <wp:inline distB="114300" distT="114300" distL="114300" distR="114300">
                    <wp:extent cx="1352550" cy="901700"/>
                    <wp:effectExtent b="0" l="0" r="0" t="0"/>
                    <wp:docPr id="8"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hyperlink r:id="rId18">
              <w:r w:rsidDel="00000000" w:rsidR="00000000" w:rsidRPr="00000000">
                <w:rPr>
                  <w:color w:val="1155cc"/>
                  <w:u w:val="single"/>
                </w:rPr>
                <w:drawing>
                  <wp:inline distB="114300" distT="114300" distL="114300" distR="114300">
                    <wp:extent cx="1352550" cy="901700"/>
                    <wp:effectExtent b="0" l="0" r="0" t="0"/>
                    <wp:docPr id="1"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hyperlink r:id="rId20">
              <w:r w:rsidDel="00000000" w:rsidR="00000000" w:rsidRPr="00000000">
                <w:rPr>
                  <w:color w:val="1155cc"/>
                  <w:u w:val="single"/>
                </w:rPr>
                <w:drawing>
                  <wp:inline distB="114300" distT="114300" distL="114300" distR="114300">
                    <wp:extent cx="1352550" cy="901700"/>
                    <wp:effectExtent b="0" l="0" r="0" t="0"/>
                    <wp:docPr id="10"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lijep</w:t>
            </w:r>
          </w:p>
        </w:tc>
        <w:tc>
          <w:tcPr>
            <w:tcBorders>
              <w:top w:color="000000" w:space="0" w:sz="0" w:val="nil"/>
              <w:left w:color="ffffff" w:space="0" w:sz="24" w:val="single"/>
              <w:bottom w:color="000000" w:space="0" w:sz="0" w:val="nil"/>
              <w:right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ružan</w:t>
            </w:r>
          </w:p>
        </w:tc>
        <w:tc>
          <w:tcPr>
            <w:tcBorders>
              <w:top w:color="000000" w:space="0" w:sz="0" w:val="nil"/>
              <w:left w:color="000000" w:space="0" w:sz="18" w:val="single"/>
              <w:bottom w:color="000000" w:space="0" w:sz="0" w:val="nil"/>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r w:rsidDel="00000000" w:rsidR="00000000" w:rsidRPr="00000000">
              <w:rPr>
                <w:rtl w:val="0"/>
              </w:rPr>
              <w:t xml:space="preserve">nov</w:t>
            </w:r>
          </w:p>
        </w:tc>
        <w:tc>
          <w:tcPr>
            <w:tcBorders>
              <w:top w:color="000000" w:space="0" w:sz="0" w:val="nil"/>
              <w:left w:color="ffffff" w:space="0" w:sz="1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r w:rsidDel="00000000" w:rsidR="00000000" w:rsidRPr="00000000">
              <w:rPr>
                <w:rtl w:val="0"/>
              </w:rPr>
              <w:t xml:space="preserve">star</w:t>
            </w:r>
          </w:p>
        </w:tc>
      </w:tr>
    </w:tbl>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There are several endings that are used to create the comparative form of an adjective. So far you have learned two of them: </w:t>
      </w:r>
      <w:r w:rsidDel="00000000" w:rsidR="00000000" w:rsidRPr="00000000">
        <w:rPr>
          <w:b w:val="1"/>
          <w:bCs w:val="1"/>
          <w:i w:val="1"/>
          <w:iCs w:val="1"/>
          <w:rtl w:val="0"/>
        </w:rPr>
        <w:t xml:space="preserve">dobar - bolji </w:t>
      </w:r>
      <w:r w:rsidDel="00000000" w:rsidR="00000000" w:rsidRPr="00000000">
        <w:rPr>
          <w:rtl w:val="0"/>
        </w:rPr>
        <w:t xml:space="preserve">(good - better) and </w:t>
      </w:r>
      <w:r w:rsidDel="00000000" w:rsidR="00000000" w:rsidRPr="00000000">
        <w:rPr>
          <w:b w:val="1"/>
          <w:bCs w:val="1"/>
          <w:i w:val="1"/>
          <w:iCs w:val="1"/>
          <w:rtl w:val="0"/>
        </w:rPr>
        <w:t xml:space="preserve">lijep - ljepši</w:t>
      </w:r>
      <w:r w:rsidDel="00000000" w:rsidR="00000000" w:rsidRPr="00000000">
        <w:rPr>
          <w:rtl w:val="0"/>
        </w:rPr>
        <w:t xml:space="preserve"> (nice - nicer). What type of ending we need to use to create a comparative depends on the adjective itself. We will talk more about these rules in later units. For now, let’s focus on a few adjectives that we encountered in this lesson and how to make their comparative forms.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72.5"/>
        <w:gridCol w:w="2272.5"/>
        <w:gridCol w:w="4815"/>
        <w:tblGridChange w:id="0">
          <w:tblGrid>
            <w:gridCol w:w="2272.5"/>
            <w:gridCol w:w="2272.5"/>
            <w:gridCol w:w="4815"/>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Adjective form</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Comparative form </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Example </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skup</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skuplji</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Crveni automobil je skuplji nego plavi.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jeftin</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jeftiniji</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Plavi automobil je </w:t>
            </w:r>
            <w:r w:rsidDel="00000000" w:rsidR="00000000" w:rsidRPr="00000000">
              <w:rPr>
                <w:rtl w:val="0"/>
              </w:rPr>
              <w:t xml:space="preserve">jeftiniji</w:t>
            </w:r>
            <w:r w:rsidDel="00000000" w:rsidR="00000000" w:rsidRPr="00000000">
              <w:rPr>
                <w:rtl w:val="0"/>
              </w:rPr>
              <w:t xml:space="preserve"> nego crveni.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spor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sporiji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Parni vlak je sporiji.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nov</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noviji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Bijeli čamac je noviji.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star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stariji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Ovaj čamac je stariji nego bijeli čamac.</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ružan</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ružniji</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Žuti avion je ružniji. </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brz</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brži</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Japanski vlak je brži nego hrvatski vlak. </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lijep</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ljepši</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Veliki avion je ljepši nego mali avion.</w:t>
            </w:r>
          </w:p>
        </w:tc>
      </w:tr>
    </w:tbl>
    <w:p w:rsidR="00000000" w:rsidDel="00000000" w:rsidP="00000000" w:rsidRDefault="00000000" w:rsidRPr="00000000" w14:paraId="0000004E">
      <w:pPr>
        <w:rPr/>
      </w:pPr>
      <w:r w:rsidDel="00000000" w:rsidR="00000000" w:rsidRPr="00000000">
        <w:rPr>
          <w:rtl w:val="0"/>
        </w:rPr>
        <w:t xml:space="preserve">Images used in this document are from </w:t>
      </w:r>
      <w:hyperlink r:id="rId2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23" w:type="default"/>
      <w:footerReference r:id="rId2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2">
    <w:pPr>
      <w:rPr/>
    </w:pPr>
    <w:r w:rsidDel="00000000" w:rsidR="00000000" w:rsidRPr="00000000">
      <w:rPr/>
      <w:drawing>
        <wp:inline distB="114300" distT="114300" distL="114300" distR="114300">
          <wp:extent cx="941832" cy="329641"/>
          <wp:effectExtent b="0" l="0" r="0" t="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F">
    <w:pPr>
      <w:jc w:val="right"/>
      <w:rPr>
        <w:b w:val="1"/>
        <w:bCs w:val="1"/>
        <w:sz w:val="24"/>
        <w:szCs w:val="24"/>
      </w:rPr>
    </w:pPr>
    <w:r w:rsidDel="00000000" w:rsidR="00000000" w:rsidRPr="00000000">
      <w:rPr>
        <w:b w:val="1"/>
        <w:bCs w:val="1"/>
        <w:sz w:val="28"/>
        <w:szCs w:val="28"/>
        <w:rtl w:val="0"/>
      </w:rPr>
      <w:t xml:space="preserve">7 |</w:t>
    </w:r>
    <w:r w:rsidDel="00000000" w:rsidR="00000000" w:rsidRPr="00000000">
      <w:rPr>
        <w:b w:val="1"/>
        <w:bCs w:val="1"/>
        <w:sz w:val="24"/>
        <w:szCs w:val="24"/>
        <w:rtl w:val="0"/>
      </w:rPr>
      <w:t xml:space="preserve"> Modul 2: Gramatika</w:t>
    </w:r>
  </w:p>
  <w:p w:rsidR="00000000" w:rsidDel="00000000" w:rsidP="00000000" w:rsidRDefault="00000000" w:rsidRPr="00000000" w14:paraId="00000050">
    <w:pPr>
      <w:jc w:val="right"/>
      <w:rPr>
        <w:i w:val="1"/>
        <w:iCs w:val="1"/>
        <w:sz w:val="24"/>
        <w:szCs w:val="24"/>
      </w:rPr>
    </w:pPr>
    <w:r w:rsidDel="00000000" w:rsidR="00000000" w:rsidRPr="00000000">
      <w:rPr>
        <w:i w:val="1"/>
        <w:iCs w:val="1"/>
        <w:sz w:val="24"/>
        <w:szCs w:val="24"/>
        <w:rtl w:val="0"/>
      </w:rPr>
      <w:t xml:space="preserve">Put pod noge</w:t>
    </w:r>
  </w:p>
  <w:p w:rsidR="00000000" w:rsidDel="00000000" w:rsidP="00000000" w:rsidRDefault="00000000" w:rsidRPr="00000000" w14:paraId="00000051">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piqsels.com/en/public-domain-photo-fksco" TargetMode="External"/><Relationship Id="rId11" Type="http://schemas.openxmlformats.org/officeDocument/2006/relationships/image" Target="media/image5.png"/><Relationship Id="rId22" Type="http://schemas.openxmlformats.org/officeDocument/2006/relationships/hyperlink" Target="https://docs.google.com/document/d/1oMKzsq7tFaAfUeKlGW_UfGyjZ7G8FrhQDaRABbjKP-s/edit?pli=1#heading=h.ou6sok6ab3dc" TargetMode="External"/><Relationship Id="rId10" Type="http://schemas.openxmlformats.org/officeDocument/2006/relationships/hyperlink" Target="https://www.piqsels.com/en/public-domain-photo-fxslt" TargetMode="External"/><Relationship Id="rId21" Type="http://schemas.openxmlformats.org/officeDocument/2006/relationships/image" Target="media/image6.png"/><Relationship Id="rId13" Type="http://schemas.openxmlformats.org/officeDocument/2006/relationships/image" Target="media/image10.png"/><Relationship Id="rId24" Type="http://schemas.openxmlformats.org/officeDocument/2006/relationships/footer" Target="footer1.xml"/><Relationship Id="rId12" Type="http://schemas.openxmlformats.org/officeDocument/2006/relationships/hyperlink" Target="https://www.piqsels.com/en/public-domain-photo-juvwx" TargetMode="External"/><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3.png"/><Relationship Id="rId14" Type="http://schemas.openxmlformats.org/officeDocument/2006/relationships/hyperlink" Target="https://www.piqsels.com/en/public-domain-photo-zkdyn" TargetMode="External"/><Relationship Id="rId17" Type="http://schemas.openxmlformats.org/officeDocument/2006/relationships/image" Target="media/image2.png"/><Relationship Id="rId16" Type="http://schemas.openxmlformats.org/officeDocument/2006/relationships/hyperlink" Target="https://unsplash.com/photos/peI5YGxS6Bs" TargetMode="External"/><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hyperlink" Target="https://www.piqsels.com/en/public-domain-photo-zfmjx" TargetMode="External"/><Relationship Id="rId18" Type="http://schemas.openxmlformats.org/officeDocument/2006/relationships/hyperlink" Target="https://www.piqsels.com/en/public-domain-photo-jmkxf" TargetMode="External"/><Relationship Id="rId7" Type="http://schemas.openxmlformats.org/officeDocument/2006/relationships/image" Target="media/image8.png"/><Relationship Id="rId8" Type="http://schemas.openxmlformats.org/officeDocument/2006/relationships/hyperlink" Target="https://www.piqsels.com/en/public-domain-photo-smztj"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