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rPr/>
      </w:pPr>
      <w:bookmarkStart w:colFirst="0" w:colLast="0" w:name="_f98p73rvgp1p" w:id="0"/>
      <w:bookmarkEnd w:id="0"/>
      <w:r w:rsidDel="00000000" w:rsidR="00000000" w:rsidRPr="00000000">
        <w:rPr>
          <w:rtl w:val="0"/>
        </w:rPr>
        <w:t xml:space="preserve">6.9 - Hudební nástroje</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i w:val="1"/>
        </w:rPr>
      </w:pPr>
      <w:r w:rsidDel="00000000" w:rsidR="00000000" w:rsidRPr="00000000">
        <w:rPr>
          <w:i w:val="1"/>
          <w:rtl w:val="0"/>
        </w:rPr>
        <w:t xml:space="preserve">Co Čech, to muzikant.</w:t>
      </w:r>
    </w:p>
    <w:p w:rsidR="00000000" w:rsidDel="00000000" w:rsidP="00000000" w:rsidRDefault="00000000" w:rsidRPr="00000000" w14:paraId="00000004">
      <w:pPr>
        <w:pageBreakBefore w:val="0"/>
        <w:rPr/>
      </w:pPr>
      <w:r w:rsidDel="00000000" w:rsidR="00000000" w:rsidRPr="00000000">
        <w:rPr>
          <w:rtl w:val="0"/>
        </w:rPr>
        <w:t xml:space="preserve">Where there is a Czech, there is a musician.</w:t>
      </w:r>
    </w:p>
    <w:p w:rsidR="00000000" w:rsidDel="00000000" w:rsidP="00000000" w:rsidRDefault="00000000" w:rsidRPr="00000000" w14:paraId="00000005">
      <w:pPr>
        <w:pageBreakBefore w:val="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5280"/>
        <w:tblGridChange w:id="0">
          <w:tblGrid>
            <w:gridCol w:w="4080"/>
            <w:gridCol w:w="52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6">
            <w:pPr>
              <w:pageBreakBefore w:val="0"/>
              <w:rPr/>
            </w:pPr>
            <w:hyperlink r:id="rId6">
              <w:r w:rsidDel="00000000" w:rsidR="00000000" w:rsidRPr="00000000">
                <w:rPr>
                  <w:color w:val="1155cc"/>
                  <w:u w:val="single"/>
                </w:rPr>
                <w:drawing>
                  <wp:inline distB="114300" distT="114300" distL="114300" distR="114300">
                    <wp:extent cx="2424113" cy="2424113"/>
                    <wp:effectExtent b="0" l="0" r="0" t="0"/>
                    <wp:docPr id="8"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2424113" cy="2424113"/>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8">
              <w:r w:rsidDel="00000000" w:rsidR="00000000" w:rsidRPr="00000000">
                <w:rPr>
                  <w:color w:val="1155cc"/>
                  <w:u w:val="single"/>
                </w:rPr>
                <w:drawing>
                  <wp:inline distB="114300" distT="114300" distL="114300" distR="114300">
                    <wp:extent cx="3167063" cy="2380611"/>
                    <wp:effectExtent b="0" l="0" r="0" t="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167063" cy="2380611"/>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Playing an instrument is very common in the Czech Republic and the common phrase given above attests to this (don’t worry if the phrase is hard to make out in Czech – it’s using somewhat uncommon colloquial language).</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So we know the word </w:t>
      </w:r>
      <w:r w:rsidDel="00000000" w:rsidR="00000000" w:rsidRPr="00000000">
        <w:rPr>
          <w:i w:val="1"/>
          <w:rtl w:val="0"/>
        </w:rPr>
        <w:t xml:space="preserve">hrát</w:t>
      </w:r>
      <w:r w:rsidDel="00000000" w:rsidR="00000000" w:rsidRPr="00000000">
        <w:rPr>
          <w:rtl w:val="0"/>
        </w:rPr>
        <w:t xml:space="preserve"> ‘to play’, right? So what else do we need to know? Well, the only other thing is to learn the whole construction, which is </w:t>
      </w:r>
      <w:r w:rsidDel="00000000" w:rsidR="00000000" w:rsidRPr="00000000">
        <w:rPr>
          <w:i w:val="1"/>
          <w:rtl w:val="0"/>
        </w:rPr>
        <w:t xml:space="preserve">hrát na</w:t>
      </w:r>
      <w:r w:rsidDel="00000000" w:rsidR="00000000" w:rsidRPr="00000000">
        <w:rPr>
          <w:rtl w:val="0"/>
        </w:rPr>
        <w:t xml:space="preserve"> + Instrument (in accusative case):</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ind w:left="720" w:firstLine="0"/>
        <w:rPr>
          <w:i w:val="1"/>
        </w:rPr>
      </w:pPr>
      <w:r w:rsidDel="00000000" w:rsidR="00000000" w:rsidRPr="00000000">
        <w:rPr>
          <w:i w:val="1"/>
          <w:rtl w:val="0"/>
        </w:rPr>
        <w:t xml:space="preserve">Miloš hraje na bicí</w:t>
      </w:r>
    </w:p>
    <w:p w:rsidR="00000000" w:rsidDel="00000000" w:rsidP="00000000" w:rsidRDefault="00000000" w:rsidRPr="00000000" w14:paraId="0000000E">
      <w:pPr>
        <w:pageBreakBefore w:val="0"/>
        <w:ind w:left="720" w:firstLine="0"/>
        <w:rPr>
          <w:i w:val="1"/>
        </w:rPr>
      </w:pPr>
      <w:r w:rsidDel="00000000" w:rsidR="00000000" w:rsidRPr="00000000">
        <w:rPr>
          <w:i w:val="1"/>
          <w:rtl w:val="0"/>
        </w:rPr>
        <w:t xml:space="preserve">Lucka hraje na kytaru.</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t xml:space="preserve">It can also be used with umět ‘to know how’:</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ind w:left="720" w:firstLine="0"/>
        <w:rPr>
          <w:i w:val="1"/>
        </w:rPr>
      </w:pPr>
      <w:r w:rsidDel="00000000" w:rsidR="00000000" w:rsidRPr="00000000">
        <w:rPr>
          <w:i w:val="1"/>
          <w:rtl w:val="0"/>
        </w:rPr>
        <w:t xml:space="preserve">Neumím hrát na saxofon.</w:t>
      </w:r>
    </w:p>
    <w:p w:rsidR="00000000" w:rsidDel="00000000" w:rsidP="00000000" w:rsidRDefault="00000000" w:rsidRPr="00000000" w14:paraId="00000013">
      <w:pPr>
        <w:pageBreakBefore w:val="0"/>
        <w:ind w:left="720" w:firstLine="0"/>
        <w:rPr>
          <w:i w:val="1"/>
        </w:rPr>
      </w:pPr>
      <w:r w:rsidDel="00000000" w:rsidR="00000000" w:rsidRPr="00000000">
        <w:rPr>
          <w:i w:val="1"/>
          <w:rtl w:val="0"/>
        </w:rPr>
        <w:t xml:space="preserve">Václav umí dobře hrát na trumpetu.</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4050"/>
        <w:gridCol w:w="3120"/>
        <w:tblGridChange w:id="0">
          <w:tblGrid>
            <w:gridCol w:w="2190"/>
            <w:gridCol w:w="4050"/>
            <w:gridCol w:w="3120"/>
          </w:tblGrid>
        </w:tblGridChange>
      </w:tblGrid>
      <w:tr>
        <w:trPr>
          <w:cantSplit w:val="0"/>
          <w:tblHeader w:val="0"/>
        </w:trPr>
        <w:tc>
          <w:tcPr>
            <w:tcBorders>
              <w:top w:color="000000" w:space="0" w:sz="0" w:val="nil"/>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0">
              <w:r w:rsidDel="00000000" w:rsidR="00000000" w:rsidRPr="00000000">
                <w:rPr>
                  <w:color w:val="1155cc"/>
                  <w:u w:val="single"/>
                </w:rPr>
                <w:drawing>
                  <wp:inline distB="114300" distT="114300" distL="114300" distR="114300">
                    <wp:extent cx="1137341" cy="750411"/>
                    <wp:effectExtent b="0" l="0" r="0" t="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137341" cy="750411"/>
                            </a:xfrm>
                            <a:prstGeom prst="rect"/>
                            <a:ln/>
                          </pic:spPr>
                        </pic:pic>
                      </a:graphicData>
                    </a:graphic>
                  </wp:inline>
                </w:drawing>
              </w:r>
            </w:hyperlink>
            <w:r w:rsidDel="00000000" w:rsidR="00000000" w:rsidRPr="00000000">
              <w:rPr>
                <w:rtl w:val="0"/>
              </w:rPr>
            </w:r>
          </w:p>
        </w:tc>
        <w:tc>
          <w:tcPr>
            <w:tcBorders>
              <w:top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klavír, piano</w:t>
            </w:r>
          </w:p>
        </w:tc>
        <w:tc>
          <w:tcPr>
            <w:tcBorders>
              <w:top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piano</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2">
              <w:r w:rsidDel="00000000" w:rsidR="00000000" w:rsidRPr="00000000">
                <w:rPr>
                  <w:color w:val="1155cc"/>
                  <w:u w:val="single"/>
                </w:rPr>
                <w:drawing>
                  <wp:inline distB="114300" distT="114300" distL="114300" distR="114300">
                    <wp:extent cx="1257300" cy="838200"/>
                    <wp:effectExtent b="0" l="0" r="0" t="0"/>
                    <wp:docPr id="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257300" cy="8382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kytara</w:t>
            </w:r>
          </w:p>
        </w:tc>
        <w:tc>
          <w:tcPr>
            <w:tcBorders>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guitar</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pageBreakBefore w:val="0"/>
              <w:widowControl w:val="0"/>
              <w:spacing w:line="240" w:lineRule="auto"/>
              <w:jc w:val="center"/>
              <w:rPr/>
            </w:pPr>
            <w:hyperlink r:id="rId14">
              <w:r w:rsidDel="00000000" w:rsidR="00000000" w:rsidRPr="00000000">
                <w:rPr>
                  <w:color w:val="1155cc"/>
                  <w:u w:val="single"/>
                </w:rPr>
                <w:drawing>
                  <wp:inline distB="114300" distT="114300" distL="114300" distR="114300">
                    <wp:extent cx="1257300" cy="1257300"/>
                    <wp:effectExtent b="0" l="0" r="0" t="0"/>
                    <wp:docPr id="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257300" cy="12573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bicí, bubny</w:t>
            </w:r>
          </w:p>
        </w:tc>
        <w:tc>
          <w:tcPr>
            <w:tcBorders>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drums</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6">
              <w:r w:rsidDel="00000000" w:rsidR="00000000" w:rsidRPr="00000000">
                <w:rPr>
                  <w:color w:val="1155cc"/>
                  <w:u w:val="single"/>
                </w:rPr>
                <w:drawing>
                  <wp:inline distB="114300" distT="114300" distL="114300" distR="114300">
                    <wp:extent cx="1257300" cy="723900"/>
                    <wp:effectExtent b="0" l="0" r="0" t="0"/>
                    <wp:docPr id="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257300" cy="7239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klarinet</w:t>
            </w:r>
          </w:p>
        </w:tc>
        <w:tc>
          <w:tcPr>
            <w:tcBorders>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clarinet</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pageBreakBefore w:val="0"/>
              <w:widowControl w:val="0"/>
              <w:spacing w:line="240" w:lineRule="auto"/>
              <w:jc w:val="center"/>
              <w:rPr/>
            </w:pPr>
            <w:hyperlink r:id="rId18">
              <w:r w:rsidDel="00000000" w:rsidR="00000000" w:rsidRPr="00000000">
                <w:rPr>
                  <w:color w:val="1155cc"/>
                  <w:u w:val="single"/>
                </w:rPr>
                <w:drawing>
                  <wp:inline distB="114300" distT="114300" distL="114300" distR="114300">
                    <wp:extent cx="1257300" cy="419100"/>
                    <wp:effectExtent b="0" l="0" r="0" t="0"/>
                    <wp:docPr id="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257300" cy="4191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trumpeta</w:t>
            </w:r>
          </w:p>
        </w:tc>
        <w:tc>
          <w:tcPr>
            <w:tcBorders>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trumpet</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pageBreakBefore w:val="0"/>
              <w:widowControl w:val="0"/>
              <w:spacing w:line="240" w:lineRule="auto"/>
              <w:jc w:val="center"/>
              <w:rPr/>
            </w:pPr>
            <w:hyperlink r:id="rId20">
              <w:r w:rsidDel="00000000" w:rsidR="00000000" w:rsidRPr="00000000">
                <w:rPr>
                  <w:color w:val="1155cc"/>
                  <w:u w:val="single"/>
                </w:rPr>
                <w:drawing>
                  <wp:inline distB="114300" distT="114300" distL="114300" distR="114300">
                    <wp:extent cx="621646" cy="832287"/>
                    <wp:effectExtent b="0" l="0" r="0" t="0"/>
                    <wp:docPr id="4"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621646" cy="832287"/>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saxofon</w:t>
            </w:r>
          </w:p>
        </w:tc>
        <w:tc>
          <w:tcPr>
            <w:tcBorders>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saxophone</w:t>
            </w:r>
          </w:p>
        </w:tc>
      </w:tr>
      <w:tr>
        <w:trPr>
          <w:cantSplit w:val="0"/>
          <w:tblHeader w:val="0"/>
        </w:trPr>
        <w:tc>
          <w:tcPr>
            <w:tcBorders>
              <w:left w:color="000000" w:space="0" w:sz="0" w:val="nil"/>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pageBreakBefore w:val="0"/>
              <w:widowControl w:val="0"/>
              <w:spacing w:line="240" w:lineRule="auto"/>
              <w:jc w:val="center"/>
              <w:rPr/>
            </w:pPr>
            <w:hyperlink r:id="rId22">
              <w:r w:rsidDel="00000000" w:rsidR="00000000" w:rsidRPr="00000000">
                <w:rPr>
                  <w:color w:val="1155cc"/>
                  <w:u w:val="single"/>
                </w:rPr>
                <w:drawing>
                  <wp:inline distB="114300" distT="114300" distL="114300" distR="114300">
                    <wp:extent cx="1257300" cy="431800"/>
                    <wp:effectExtent b="0" l="0" r="0" t="0"/>
                    <wp:docPr id="9"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257300" cy="431800"/>
                            </a:xfrm>
                            <a:prstGeom prst="rect"/>
                            <a:ln/>
                          </pic:spPr>
                        </pic:pic>
                      </a:graphicData>
                    </a:graphic>
                  </wp:inline>
                </w:drawing>
              </w:r>
            </w:hyperlink>
            <w:r w:rsidDel="00000000" w:rsidR="00000000" w:rsidRPr="00000000">
              <w:rPr>
                <w:rtl w:val="0"/>
              </w:rPr>
            </w:r>
          </w:p>
        </w:tc>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flétna</w:t>
            </w:r>
          </w:p>
        </w:tc>
        <w:tc>
          <w:tcPr>
            <w:tcBorders>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flute</w:t>
            </w:r>
          </w:p>
        </w:tc>
      </w:tr>
    </w:tbl>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color w:val="222222"/>
          <w:sz w:val="22"/>
          <w:szCs w:val="22"/>
          <w:highlight w:val="white"/>
          <w:rtl w:val="0"/>
        </w:rPr>
        <w:t xml:space="preserve">Images used in this document come from </w:t>
      </w:r>
      <w:hyperlink r:id="rId24">
        <w:r w:rsidDel="00000000" w:rsidR="00000000" w:rsidRPr="00000000">
          <w:rPr>
            <w:color w:val="1155cc"/>
            <w:sz w:val="22"/>
            <w:szCs w:val="22"/>
            <w:highlight w:val="white"/>
            <w:u w:val="single"/>
            <w:rtl w:val="0"/>
          </w:rPr>
          <w:t xml:space="preserve">these sources.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mmons.wikimedia.org/wiki/File:Etude_Alto_Saxophone.JPG" TargetMode="External"/><Relationship Id="rId11" Type="http://schemas.openxmlformats.org/officeDocument/2006/relationships/image" Target="media/image7.png"/><Relationship Id="rId22" Type="http://schemas.openxmlformats.org/officeDocument/2006/relationships/hyperlink" Target="https://pixabay.com/cs/photos/flute-hudba-n%C3%A1stroj-hr%C3%A1l-v%C3%ADtr-893911/" TargetMode="External"/><Relationship Id="rId10" Type="http://schemas.openxmlformats.org/officeDocument/2006/relationships/hyperlink" Target="https://www.flickr.com/photos/111456865@N04/11357509244" TargetMode="External"/><Relationship Id="rId21" Type="http://schemas.openxmlformats.org/officeDocument/2006/relationships/image" Target="media/image3.png"/><Relationship Id="rId13" Type="http://schemas.openxmlformats.org/officeDocument/2006/relationships/image" Target="media/image8.png"/><Relationship Id="rId24" Type="http://schemas.openxmlformats.org/officeDocument/2006/relationships/hyperlink" Target="https://docs.google.com/document/d/1zu04ewEVSZyzgeJP4UruSCuuT6cwPM-ukabQuZH2Y_I/edit#heading=h.f98p73rvgp1p" TargetMode="External"/><Relationship Id="rId12" Type="http://schemas.openxmlformats.org/officeDocument/2006/relationships/hyperlink" Target="https://pixabay.com/photos/accord-acoustic-art-classical-2119/" TargetMode="Externa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png"/><Relationship Id="rId14" Type="http://schemas.openxmlformats.org/officeDocument/2006/relationships/hyperlink" Target="https://commons.wikimedia.org/wiki/File:Platin_Drums_PTCL2016_AF.jpg" TargetMode="External"/><Relationship Id="rId17" Type="http://schemas.openxmlformats.org/officeDocument/2006/relationships/image" Target="media/image4.png"/><Relationship Id="rId16" Type="http://schemas.openxmlformats.org/officeDocument/2006/relationships/hyperlink" Target="https://pixabay.com/vectors/clarinet-wind-instrument-music-play-1870572/" TargetMode="Externa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hyperlink" Target="https://www.publicdomainpictures.net/en/view-image.php?image=117482&amp;picture=musical-instruments-clipart" TargetMode="External"/><Relationship Id="rId18" Type="http://schemas.openxmlformats.org/officeDocument/2006/relationships/hyperlink" Target="https://commons.wikimedia.org/wiki/File:Trumpet_1.png" TargetMode="External"/><Relationship Id="rId7" Type="http://schemas.openxmlformats.org/officeDocument/2006/relationships/image" Target="media/image9.png"/><Relationship Id="rId8" Type="http://schemas.openxmlformats.org/officeDocument/2006/relationships/hyperlink" Target="https://commons.wikimedia.org/wiki/File:Prague_1,_Czech_Republic_-_panoramio_-_lexx2062_(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