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pageBreakBefore w:val="0"/>
        <w:rPr/>
      </w:pPr>
      <w:bookmarkStart w:colFirst="0" w:colLast="0" w:name="_a2pyz5tutqex" w:id="0"/>
      <w:bookmarkEnd w:id="0"/>
      <w:r w:rsidDel="00000000" w:rsidR="00000000" w:rsidRPr="00000000">
        <w:rPr>
          <w:rtl w:val="0"/>
        </w:rPr>
        <w:t xml:space="preserve">1.10 - Demonstratives - Plural Forms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 will also need to learn plural forms of the demonstrative pronouns, i.e. equivalent to English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those</w:t>
      </w:r>
      <w:r w:rsidDel="00000000" w:rsidR="00000000" w:rsidRPr="00000000">
        <w:rPr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First we will learn the plural of the plain demonstrative forms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ten, ta, to</w:t>
      </w:r>
      <w:r w:rsidDel="00000000" w:rsidR="00000000" w:rsidRPr="00000000">
        <w:rPr>
          <w:sz w:val="24"/>
          <w:szCs w:val="24"/>
          <w:rtl w:val="0"/>
        </w:rPr>
        <w:t xml:space="preserve">. The plural forms of these pronouns are given in the chart below: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Demonstrative Pronouns - Nominative Plural</w:t>
      </w:r>
    </w:p>
    <w:tbl>
      <w:tblPr>
        <w:tblStyle w:val="Table1"/>
        <w:tblW w:w="93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340"/>
        <w:gridCol w:w="2310"/>
        <w:gridCol w:w="2175"/>
        <w:gridCol w:w="2535"/>
        <w:tblGridChange w:id="0">
          <w:tblGrid>
            <w:gridCol w:w="2340"/>
            <w:gridCol w:w="2310"/>
            <w:gridCol w:w="2175"/>
            <w:gridCol w:w="25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</w:t>
            </w:r>
          </w:p>
        </w:tc>
        <w:tc>
          <w:tcPr>
            <w:tcBorders>
              <w:top w:color="000000" w:space="0" w:sz="0" w:val="nil"/>
              <w:bottom w:color="000000" w:space="0" w:sz="8" w:val="single"/>
              <w:right w:color="000000" w:space="0" w:sz="8" w:val="single"/>
            </w:tcBorders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mi</w:t>
            </w:r>
          </w:p>
        </w:tc>
        <w:tc>
          <w:tcPr>
            <w:tcBorders>
              <w:top w:color="000000" w:space="0" w:sz="0" w:val="nil"/>
              <w:bottom w:color="000000" w:space="0" w:sz="8" w:val="single"/>
              <w:right w:color="000000" w:space="0" w:sz="8" w:val="single"/>
            </w:tcBorders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</w:t>
            </w:r>
          </w:p>
        </w:tc>
        <w:tc>
          <w:tcPr>
            <w:tcBorders>
              <w:top w:color="000000" w:space="0" w:sz="0" w:val="nil"/>
              <w:bottom w:color="000000" w:space="0" w:sz="8" w:val="single"/>
              <w:right w:color="000000" w:space="0" w:sz="0" w:val="nil"/>
            </w:tcBorders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ti</w:t>
            </w:r>
          </w:p>
        </w:tc>
        <w:tc>
          <w:tcPr>
            <w:tcBorders>
              <w:bottom w:color="000000" w:space="0" w:sz="0" w:val="nil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ty</w:t>
            </w:r>
          </w:p>
        </w:tc>
        <w:tc>
          <w:tcPr>
            <w:tcBorders>
              <w:bottom w:color="000000" w:space="0" w:sz="0" w:val="nil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ty</w:t>
            </w:r>
          </w:p>
        </w:tc>
        <w:tc>
          <w:tcPr>
            <w:tcBorders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ta</w:t>
            </w:r>
          </w:p>
        </w:tc>
      </w:tr>
    </w:tbl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30" w:firstLine="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ti kluci jsou studenti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3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those guys are students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3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30" w:firstLine="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ty holky jsou studentky taky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3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those girls are students as well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3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30" w:firstLine="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ta okna jsou špinavá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3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those windows are dirty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Remember that these demonstrative pronouns are used to demonstrate a particular object/person, e.g.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Those flowers are pretty</w:t>
      </w:r>
      <w:r w:rsidDel="00000000" w:rsidR="00000000" w:rsidRPr="00000000">
        <w:rPr>
          <w:sz w:val="24"/>
          <w:szCs w:val="24"/>
          <w:rtl w:val="0"/>
        </w:rPr>
        <w:t xml:space="preserve">. In this instance, people are just talking about a bunch of flowers. One of the speakers refers to a set of flowers as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those flowers </w:t>
      </w:r>
      <w:r w:rsidDel="00000000" w:rsidR="00000000" w:rsidRPr="00000000">
        <w:rPr>
          <w:sz w:val="24"/>
          <w:szCs w:val="24"/>
          <w:rtl w:val="0"/>
        </w:rPr>
        <w:t xml:space="preserve">to distinguish it from all the other chairs they might have been talking about.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Unchanging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to je…./to jsou…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sz w:val="24"/>
          <w:szCs w:val="24"/>
          <w:rtl w:val="0"/>
        </w:rPr>
        <w:t xml:space="preserve">Remember that whenever you are identifying objects, you just use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to je…./to jsou…</w:t>
      </w:r>
      <w:r w:rsidDel="00000000" w:rsidR="00000000" w:rsidRPr="00000000">
        <w:rPr>
          <w:sz w:val="24"/>
          <w:szCs w:val="24"/>
          <w:rtl w:val="0"/>
        </w:rPr>
        <w:t xml:space="preserve"> with unchanging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to</w:t>
      </w:r>
      <w:r w:rsidDel="00000000" w:rsidR="00000000" w:rsidRPr="00000000">
        <w:rPr>
          <w:rtl w:val="0"/>
        </w:rPr>
        <w:t xml:space="preserve">. In these instances you are not directly modifying the noun, i.e. you’re not saying </w:t>
      </w:r>
      <w:r w:rsidDel="00000000" w:rsidR="00000000" w:rsidRPr="00000000">
        <w:rPr>
          <w:i w:val="1"/>
          <w:iCs w:val="1"/>
          <w:rtl w:val="0"/>
        </w:rPr>
        <w:t xml:space="preserve">those cats are fat - ty kočky jsou tlusté</w:t>
      </w:r>
      <w:r w:rsidDel="00000000" w:rsidR="00000000" w:rsidRPr="00000000">
        <w:rPr>
          <w:rtl w:val="0"/>
        </w:rPr>
        <w:t xml:space="preserve">, but rather just identifying them, i.e. </w:t>
      </w:r>
      <w:r w:rsidDel="00000000" w:rsidR="00000000" w:rsidRPr="00000000">
        <w:rPr>
          <w:i w:val="1"/>
          <w:iCs w:val="1"/>
          <w:rtl w:val="0"/>
        </w:rPr>
        <w:t xml:space="preserve">those are fat cats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i w:val="1"/>
          <w:iCs w:val="1"/>
          <w:rtl w:val="0"/>
        </w:rPr>
        <w:t xml:space="preserve">to jsou tlusté kočky</w:t>
      </w:r>
      <w:r w:rsidDel="00000000" w:rsidR="00000000" w:rsidRPr="00000000">
        <w:rPr>
          <w:rtl w:val="0"/>
        </w:rPr>
        <w:t xml:space="preserve">. To read up on this more, see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1.8 - Grammar Explanation - Unchanging to, part 2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realityczech.org/unchanging-to-part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