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ttcwoap53kg3" w:id="0"/>
      <w:bookmarkEnd w:id="0"/>
      <w:r w:rsidDel="00000000" w:rsidR="00000000" w:rsidRPr="00000000">
        <w:rPr>
          <w:rtl w:val="0"/>
        </w:rPr>
        <w:t xml:space="preserve">8 </w:t>
      </w:r>
      <w:r w:rsidDel="00000000" w:rsidR="00000000" w:rsidRPr="00000000">
        <w:rPr>
          <w:color w:val="dd26b6"/>
          <w:rtl w:val="0"/>
        </w:rPr>
        <w:t xml:space="preserve">|</w:t>
      </w:r>
      <w:r w:rsidDel="00000000" w:rsidR="00000000" w:rsidRPr="00000000">
        <w:rPr>
          <w:rtl w:val="0"/>
        </w:rPr>
        <w:t xml:space="preserve"> 2 </w:t>
      </w:r>
      <w:r w:rsidDel="00000000" w:rsidR="00000000" w:rsidRPr="00000000">
        <w:rPr>
          <w:color w:val="dd26b6"/>
          <w:rtl w:val="0"/>
        </w:rPr>
        <w:t xml:space="preserve">|</w:t>
      </w:r>
      <w:r w:rsidDel="00000000" w:rsidR="00000000" w:rsidRPr="00000000">
        <w:rPr>
          <w:rtl w:val="0"/>
        </w:rPr>
        <w:t xml:space="preserve"> Lekcija 1: Moja košarica </w:t>
      </w:r>
    </w:p>
    <w:p w:rsidR="00000000" w:rsidDel="00000000" w:rsidP="00000000" w:rsidRDefault="00000000" w:rsidRPr="00000000" w14:paraId="00000002">
      <w:pPr>
        <w:pStyle w:val="Heading1"/>
        <w:rPr/>
      </w:pPr>
      <w:bookmarkStart w:colFirst="0" w:colLast="0" w:name="_2u8yrs2ifwjs" w:id="1"/>
      <w:bookmarkEnd w:id="1"/>
      <w:r w:rsidDel="00000000" w:rsidR="00000000" w:rsidRPr="00000000">
        <w:rPr>
          <w:color w:val="dd26b6"/>
          <w:rtl w:val="0"/>
        </w:rPr>
        <w:t xml:space="preserve">|</w:t>
      </w:r>
      <w:r w:rsidDel="00000000" w:rsidR="00000000" w:rsidRPr="00000000">
        <w:rPr>
          <w:rtl w:val="0"/>
        </w:rPr>
        <w:t xml:space="preserve"> The Genitive case with IMATI and NEMATI</w:t>
      </w:r>
    </w:p>
    <w:p w:rsidR="00000000" w:rsidDel="00000000" w:rsidP="00000000" w:rsidRDefault="00000000" w:rsidRPr="00000000" w14:paraId="00000003">
      <w:pPr>
        <w:rPr/>
      </w:pPr>
      <w:r w:rsidDel="00000000" w:rsidR="00000000" w:rsidRPr="00000000">
        <w:rPr>
          <w:rtl w:val="0"/>
        </w:rPr>
        <w:t xml:space="preserve">In Croatian, the verb </w:t>
      </w:r>
      <w:r w:rsidDel="00000000" w:rsidR="00000000" w:rsidRPr="00000000">
        <w:rPr>
          <w:b w:val="1"/>
          <w:i w:val="1"/>
          <w:rtl w:val="0"/>
        </w:rPr>
        <w:t xml:space="preserve">imati</w:t>
      </w:r>
      <w:r w:rsidDel="00000000" w:rsidR="00000000" w:rsidRPr="00000000">
        <w:rPr>
          <w:rtl w:val="0"/>
        </w:rPr>
        <w:t xml:space="preserve"> can have the existential meaning (there is, there are) or the possessive meaning (to have). The same goes for the negative form </w:t>
      </w:r>
      <w:r w:rsidDel="00000000" w:rsidR="00000000" w:rsidRPr="00000000">
        <w:rPr>
          <w:b w:val="1"/>
          <w:i w:val="1"/>
          <w:rtl w:val="0"/>
        </w:rPr>
        <w:t xml:space="preserve">nemati</w:t>
      </w:r>
      <w:r w:rsidDel="00000000" w:rsidR="00000000" w:rsidRPr="00000000">
        <w:rPr>
          <w:rtl w:val="0"/>
        </w:rPr>
        <w:t xml:space="preserve">, the existential meaning (there isn’t, there aren’t) and the possessive meaning (not to have). Depending on whether the meaning is existential or possessive, the noun that follows it can be in the Accusative case or Genitive case. This is explained in the table below, what is both possible and not possible to say.  </w:t>
      </w:r>
    </w:p>
    <w:tbl>
      <w:tblPr>
        <w:tblStyle w:val="Table1"/>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05"/>
        <w:gridCol w:w="1770"/>
        <w:gridCol w:w="1800"/>
        <w:gridCol w:w="1800"/>
        <w:gridCol w:w="1845"/>
        <w:tblGridChange w:id="0">
          <w:tblGrid>
            <w:gridCol w:w="1905"/>
            <w:gridCol w:w="1770"/>
            <w:gridCol w:w="1800"/>
            <w:gridCol w:w="1800"/>
            <w:gridCol w:w="1845"/>
          </w:tblGrid>
        </w:tblGridChange>
      </w:tblGrid>
      <w:tr>
        <w:trPr>
          <w:cantSplit w:val="0"/>
          <w:trHeight w:val="545" w:hRule="atLeast"/>
          <w:tblHeader w:val="0"/>
        </w:trPr>
        <w:tc>
          <w:tcPr>
            <w:vMerge w:val="restart"/>
            <w:tcBorders>
              <w:top w:color="000000" w:space="0" w:sz="12" w:val="single"/>
              <w:left w:color="000000" w:space="0" w:sz="0" w:val="nil"/>
              <w:bottom w:color="000000" w:space="0" w:sz="8" w:val="single"/>
              <w:right w:color="000000" w:space="0" w:sz="4" w:val="dotted"/>
            </w:tcBorders>
            <w:shd w:fill="f2f2f2" w:val="clear"/>
            <w:tcMar>
              <w:top w:w="100.0" w:type="dxa"/>
              <w:left w:w="100.0" w:type="dxa"/>
              <w:bottom w:w="100.0" w:type="dxa"/>
              <w:right w:w="100.0" w:type="dxa"/>
            </w:tcMar>
            <w:vAlign w:val="center"/>
          </w:tcPr>
          <w:p w:rsidR="00000000" w:rsidDel="00000000" w:rsidP="00000000" w:rsidRDefault="00000000" w:rsidRPr="00000000" w14:paraId="00000004">
            <w:pPr>
              <w:spacing w:line="240" w:lineRule="auto"/>
              <w:jc w:val="center"/>
              <w:rPr/>
            </w:pPr>
            <w:r w:rsidDel="00000000" w:rsidR="00000000" w:rsidRPr="00000000">
              <w:rPr>
                <w:rtl w:val="0"/>
              </w:rPr>
              <w:t xml:space="preserve">Croatian</w:t>
            </w:r>
            <w:r w:rsidDel="00000000" w:rsidR="00000000" w:rsidRPr="00000000">
              <w:rPr>
                <w:rtl w:val="0"/>
              </w:rPr>
            </w:r>
          </w:p>
        </w:tc>
        <w:tc>
          <w:tcPr>
            <w:gridSpan w:val="2"/>
            <w:tcBorders>
              <w:top w:color="000000" w:space="0" w:sz="12" w:val="single"/>
              <w:left w:color="000000" w:space="0" w:sz="4" w:val="dotted"/>
              <w:bottom w:color="000000" w:space="0" w:sz="0" w:val="nil"/>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5">
            <w:pPr>
              <w:spacing w:line="240" w:lineRule="auto"/>
              <w:jc w:val="center"/>
              <w:rPr>
                <w:b w:val="1"/>
              </w:rPr>
            </w:pPr>
            <w:r w:rsidDel="00000000" w:rsidR="00000000" w:rsidRPr="00000000">
              <w:rPr>
                <w:b w:val="1"/>
                <w:rtl w:val="0"/>
              </w:rPr>
              <w:t xml:space="preserve">existential meaning</w:t>
            </w:r>
          </w:p>
        </w:tc>
        <w:tc>
          <w:tcPr>
            <w:gridSpan w:val="2"/>
            <w:tcBorders>
              <w:top w:color="000000" w:space="0" w:sz="12" w:val="single"/>
              <w:left w:color="000000" w:space="0" w:sz="4" w:val="dotted"/>
              <w:bottom w:color="000000" w:space="0" w:sz="0" w:val="nil"/>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jc w:val="center"/>
              <w:rPr>
                <w:b w:val="1"/>
              </w:rPr>
            </w:pPr>
            <w:r w:rsidDel="00000000" w:rsidR="00000000" w:rsidRPr="00000000">
              <w:rPr>
                <w:b w:val="1"/>
                <w:rtl w:val="0"/>
              </w:rPr>
              <w:t xml:space="preserve">possessive meaning</w:t>
            </w:r>
          </w:p>
        </w:tc>
      </w:tr>
      <w:tr>
        <w:trPr>
          <w:cantSplit w:val="0"/>
          <w:trHeight w:val="890" w:hRule="atLeast"/>
          <w:tblHeader w:val="0"/>
        </w:trPr>
        <w:tc>
          <w:tcPr>
            <w:vMerge w:val="continue"/>
            <w:tcBorders>
              <w:left w:color="000000" w:space="0" w:sz="0" w:val="nil"/>
              <w:bottom w:color="000000" w:space="0" w:sz="12" w:val="single"/>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rPr/>
            </w:pPr>
            <w:r w:rsidDel="00000000" w:rsidR="00000000" w:rsidRPr="00000000">
              <w:rPr>
                <w:rtl w:val="0"/>
              </w:rPr>
            </w:r>
          </w:p>
        </w:tc>
        <w:tc>
          <w:tcPr>
            <w:tcBorders>
              <w:top w:color="000000" w:space="0" w:sz="0" w:val="nil"/>
              <w:left w:color="000000" w:space="0" w:sz="4" w:val="dotted"/>
              <w:bottom w:color="000000" w:space="0" w:sz="12"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jc w:val="center"/>
              <w:rPr>
                <w:b w:val="1"/>
              </w:rPr>
            </w:pPr>
            <w:r w:rsidDel="00000000" w:rsidR="00000000" w:rsidRPr="00000000">
              <w:rPr>
                <w:b w:val="1"/>
                <w:rtl w:val="0"/>
              </w:rPr>
              <w:t xml:space="preserve">ima</w:t>
            </w:r>
          </w:p>
          <w:p w:rsidR="00000000" w:rsidDel="00000000" w:rsidP="00000000" w:rsidRDefault="00000000" w:rsidRPr="00000000" w14:paraId="0000000B">
            <w:pPr>
              <w:spacing w:line="240" w:lineRule="auto"/>
              <w:jc w:val="center"/>
              <w:rPr>
                <w:i w:val="1"/>
                <w:sz w:val="18"/>
                <w:szCs w:val="18"/>
              </w:rPr>
            </w:pPr>
            <w:r w:rsidDel="00000000" w:rsidR="00000000" w:rsidRPr="00000000">
              <w:rPr>
                <w:i w:val="1"/>
                <w:sz w:val="18"/>
                <w:szCs w:val="18"/>
                <w:rtl w:val="0"/>
              </w:rPr>
              <w:t xml:space="preserve">there is, there are</w:t>
            </w:r>
          </w:p>
        </w:tc>
        <w:tc>
          <w:tcPr>
            <w:tcBorders>
              <w:top w:color="000000" w:space="0" w:sz="0" w:val="nil"/>
              <w:left w:color="000000" w:space="0" w:sz="0" w:val="nil"/>
              <w:bottom w:color="000000" w:space="0" w:sz="12" w:val="single"/>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jc w:val="center"/>
              <w:rPr>
                <w:b w:val="1"/>
              </w:rPr>
            </w:pPr>
            <w:r w:rsidDel="00000000" w:rsidR="00000000" w:rsidRPr="00000000">
              <w:rPr>
                <w:b w:val="1"/>
                <w:rtl w:val="0"/>
              </w:rPr>
              <w:t xml:space="preserve">nema</w:t>
            </w:r>
          </w:p>
          <w:p w:rsidR="00000000" w:rsidDel="00000000" w:rsidP="00000000" w:rsidRDefault="00000000" w:rsidRPr="00000000" w14:paraId="0000000D">
            <w:pPr>
              <w:spacing w:line="240" w:lineRule="auto"/>
              <w:jc w:val="center"/>
              <w:rPr>
                <w:i w:val="1"/>
                <w:sz w:val="18"/>
                <w:szCs w:val="18"/>
              </w:rPr>
            </w:pPr>
            <w:r w:rsidDel="00000000" w:rsidR="00000000" w:rsidRPr="00000000">
              <w:rPr>
                <w:i w:val="1"/>
                <w:sz w:val="18"/>
                <w:szCs w:val="18"/>
                <w:rtl w:val="0"/>
              </w:rPr>
              <w:t xml:space="preserve">there isn’t, there aren’t</w:t>
            </w:r>
          </w:p>
        </w:tc>
        <w:tc>
          <w:tcPr>
            <w:tcBorders>
              <w:top w:color="000000" w:space="0" w:sz="0" w:val="nil"/>
              <w:left w:color="000000" w:space="0" w:sz="4" w:val="dotted"/>
              <w:bottom w:color="000000" w:space="0" w:sz="12"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jc w:val="center"/>
              <w:rPr>
                <w:b w:val="1"/>
              </w:rPr>
            </w:pPr>
            <w:r w:rsidDel="00000000" w:rsidR="00000000" w:rsidRPr="00000000">
              <w:rPr>
                <w:b w:val="1"/>
                <w:rtl w:val="0"/>
              </w:rPr>
              <w:t xml:space="preserve">on ima</w:t>
            </w:r>
          </w:p>
          <w:p w:rsidR="00000000" w:rsidDel="00000000" w:rsidP="00000000" w:rsidRDefault="00000000" w:rsidRPr="00000000" w14:paraId="0000000F">
            <w:pPr>
              <w:spacing w:line="240" w:lineRule="auto"/>
              <w:jc w:val="center"/>
              <w:rPr>
                <w:i w:val="1"/>
                <w:sz w:val="18"/>
                <w:szCs w:val="18"/>
              </w:rPr>
            </w:pPr>
            <w:r w:rsidDel="00000000" w:rsidR="00000000" w:rsidRPr="00000000">
              <w:rPr>
                <w:i w:val="1"/>
                <w:sz w:val="18"/>
                <w:szCs w:val="18"/>
                <w:rtl w:val="0"/>
              </w:rPr>
              <w:t xml:space="preserve">He</w:t>
            </w:r>
            <w:r w:rsidDel="00000000" w:rsidR="00000000" w:rsidRPr="00000000">
              <w:rPr>
                <w:i w:val="1"/>
                <w:sz w:val="18"/>
                <w:szCs w:val="18"/>
                <w:rtl w:val="0"/>
              </w:rPr>
              <w:t xml:space="preserve"> has</w:t>
            </w:r>
          </w:p>
        </w:tc>
        <w:tc>
          <w:tcPr>
            <w:tcBorders>
              <w:top w:color="000000" w:space="0" w:sz="0" w:val="nil"/>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jc w:val="center"/>
              <w:rPr/>
            </w:pPr>
            <w:r w:rsidDel="00000000" w:rsidR="00000000" w:rsidRPr="00000000">
              <w:rPr>
                <w:b w:val="1"/>
                <w:rtl w:val="0"/>
              </w:rPr>
              <w:t xml:space="preserve">on nema</w:t>
            </w:r>
            <w:r w:rsidDel="00000000" w:rsidR="00000000" w:rsidRPr="00000000">
              <w:rPr>
                <w:rtl w:val="0"/>
              </w:rPr>
              <w:t xml:space="preserve"> </w:t>
            </w:r>
          </w:p>
          <w:p w:rsidR="00000000" w:rsidDel="00000000" w:rsidP="00000000" w:rsidRDefault="00000000" w:rsidRPr="00000000" w14:paraId="00000011">
            <w:pPr>
              <w:spacing w:line="240" w:lineRule="auto"/>
              <w:jc w:val="center"/>
              <w:rPr>
                <w:i w:val="1"/>
                <w:sz w:val="18"/>
                <w:szCs w:val="18"/>
              </w:rPr>
            </w:pPr>
            <w:r w:rsidDel="00000000" w:rsidR="00000000" w:rsidRPr="00000000">
              <w:rPr>
                <w:i w:val="1"/>
                <w:sz w:val="18"/>
                <w:szCs w:val="18"/>
                <w:rtl w:val="0"/>
              </w:rPr>
              <w:t xml:space="preserve">He doesn't have</w:t>
            </w:r>
          </w:p>
        </w:tc>
      </w:tr>
      <w:tr>
        <w:trPr>
          <w:cantSplit w:val="0"/>
          <w:trHeight w:val="545" w:hRule="atLeast"/>
          <w:tblHeader w:val="0"/>
        </w:trPr>
        <w:tc>
          <w:tcPr>
            <w:tcBorders>
              <w:top w:color="000000" w:space="0" w:sz="12"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b w:val="1"/>
              </w:rPr>
            </w:pPr>
            <w:r w:rsidDel="00000000" w:rsidR="00000000" w:rsidRPr="00000000">
              <w:rPr>
                <w:b w:val="1"/>
                <w:rtl w:val="0"/>
              </w:rPr>
              <w:t xml:space="preserve">Accusative</w:t>
            </w:r>
          </w:p>
        </w:tc>
        <w:tc>
          <w:tcPr>
            <w:tcBorders>
              <w:top w:color="000000" w:space="0" w:sz="12"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jc w:val="center"/>
              <w:rPr/>
            </w:pPr>
            <w:r w:rsidDel="00000000" w:rsidR="00000000" w:rsidRPr="00000000">
              <w:rPr>
                <w:rtl w:val="0"/>
              </w:rPr>
              <w:t xml:space="preserve">–</w:t>
            </w:r>
          </w:p>
        </w:tc>
        <w:tc>
          <w:tcPr>
            <w:tcBorders>
              <w:top w:color="000000" w:space="0" w:sz="12"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jc w:val="center"/>
              <w:rPr/>
            </w:pPr>
            <w:r w:rsidDel="00000000" w:rsidR="00000000" w:rsidRPr="00000000">
              <w:rPr>
                <w:rtl w:val="0"/>
              </w:rPr>
              <w:t xml:space="preserve">–</w:t>
            </w:r>
          </w:p>
        </w:tc>
        <w:tc>
          <w:tcPr>
            <w:tcBorders>
              <w:top w:color="000000" w:space="0" w:sz="12"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jc w:val="center"/>
              <w:rPr/>
            </w:pPr>
            <w:r w:rsidDel="00000000" w:rsidR="00000000" w:rsidRPr="00000000">
              <w:rPr>
                <w:rtl w:val="0"/>
              </w:rPr>
              <w:t xml:space="preserve">ima kavu</w:t>
            </w:r>
          </w:p>
        </w:tc>
        <w:tc>
          <w:tcPr>
            <w:tcBorders>
              <w:top w:color="000000" w:space="0" w:sz="12"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jc w:val="center"/>
              <w:rPr/>
            </w:pPr>
            <w:r w:rsidDel="00000000" w:rsidR="00000000" w:rsidRPr="00000000">
              <w:rPr>
                <w:rtl w:val="0"/>
              </w:rPr>
              <w:t xml:space="preserve">nema kavu</w:t>
            </w:r>
          </w:p>
        </w:tc>
      </w:tr>
      <w:tr>
        <w:trPr>
          <w:cantSplit w:val="0"/>
          <w:trHeight w:val="545" w:hRule="atLeast"/>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b w:val="1"/>
              </w:rPr>
            </w:pPr>
            <w:r w:rsidDel="00000000" w:rsidR="00000000" w:rsidRPr="00000000">
              <w:rPr>
                <w:b w:val="1"/>
                <w:rtl w:val="0"/>
              </w:rPr>
              <w:t xml:space="preserve">Genitive</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jc w:val="center"/>
              <w:rPr/>
            </w:pPr>
            <w:r w:rsidDel="00000000" w:rsidR="00000000" w:rsidRPr="00000000">
              <w:rPr>
                <w:rtl w:val="0"/>
              </w:rPr>
              <w:t xml:space="preserve">ima kave</w:t>
            </w:r>
          </w:p>
        </w:tc>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pPr>
            <w:r w:rsidDel="00000000" w:rsidR="00000000" w:rsidRPr="00000000">
              <w:rPr>
                <w:rtl w:val="0"/>
              </w:rPr>
              <w:t xml:space="preserve">nema kave</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jc w:val="center"/>
              <w:rPr/>
            </w:pPr>
            <w:r w:rsidDel="00000000" w:rsidR="00000000" w:rsidRPr="00000000">
              <w:rPr>
                <w:rtl w:val="0"/>
              </w:rPr>
              <w:t xml:space="preserve">ima kave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line="240" w:lineRule="auto"/>
              <w:jc w:val="center"/>
              <w:rPr/>
            </w:pPr>
            <w:r w:rsidDel="00000000" w:rsidR="00000000" w:rsidRPr="00000000">
              <w:rPr>
                <w:rtl w:val="0"/>
              </w:rPr>
              <w:t xml:space="preserve">nema kave</w:t>
            </w:r>
          </w:p>
        </w:tc>
      </w:tr>
    </w:tbl>
    <w:p w:rsidR="00000000" w:rsidDel="00000000" w:rsidP="00000000" w:rsidRDefault="00000000" w:rsidRPr="00000000" w14:paraId="0000001C">
      <w:pPr>
        <w:pStyle w:val="Heading1"/>
        <w:spacing w:line="240" w:lineRule="auto"/>
        <w:rPr>
          <w:color w:val="dd26b6"/>
        </w:rPr>
      </w:pPr>
      <w:bookmarkStart w:colFirst="0" w:colLast="0" w:name="_qdbb9bg469pw" w:id="2"/>
      <w:bookmarkEnd w:id="2"/>
      <w:r w:rsidDel="00000000" w:rsidR="00000000" w:rsidRPr="00000000">
        <w:rPr>
          <w:color w:val="dd26b6"/>
          <w:rtl w:val="0"/>
        </w:rPr>
        <w:t xml:space="preserve">8.2 Zadatak 1. Ima ili nema?</w:t>
      </w:r>
    </w:p>
    <w:p w:rsidR="00000000" w:rsidDel="00000000" w:rsidP="00000000" w:rsidRDefault="00000000" w:rsidRPr="00000000" w14:paraId="0000001D">
      <w:pPr>
        <w:rPr/>
      </w:pPr>
      <w:r w:rsidDel="00000000" w:rsidR="00000000" w:rsidRPr="00000000">
        <w:rPr>
          <w:rtl w:val="0"/>
        </w:rPr>
        <w:t xml:space="preserve">Listen to the following sentences and indicate whether they express the existential meaning or possessive meaning. </w:t>
      </w:r>
    </w:p>
    <w:p w:rsidR="00000000" w:rsidDel="00000000" w:rsidP="00000000" w:rsidRDefault="00000000" w:rsidRPr="00000000" w14:paraId="0000001E">
      <w:pPr>
        <w:rPr/>
      </w:pPr>
      <w:r w:rsidDel="00000000" w:rsidR="00000000" w:rsidRPr="00000000">
        <w:rPr>
          <w:rtl w:val="0"/>
        </w:rPr>
        <w:t xml:space="preserve">[h5p id="819"] </w:t>
      </w:r>
    </w:p>
    <w:p w:rsidR="00000000" w:rsidDel="00000000" w:rsidP="00000000" w:rsidRDefault="00000000" w:rsidRPr="00000000" w14:paraId="0000001F">
      <w:pPr>
        <w:pStyle w:val="Heading1"/>
        <w:rPr/>
      </w:pPr>
      <w:bookmarkStart w:colFirst="0" w:colLast="0" w:name="_d56jm7nxyin5" w:id="3"/>
      <w:bookmarkEnd w:id="3"/>
      <w:r w:rsidDel="00000000" w:rsidR="00000000" w:rsidRPr="00000000">
        <w:rPr>
          <w:color w:val="dd26b6"/>
          <w:rtl w:val="0"/>
        </w:rPr>
        <w:t xml:space="preserve">|</w:t>
      </w:r>
      <w:r w:rsidDel="00000000" w:rsidR="00000000" w:rsidRPr="00000000">
        <w:rPr>
          <w:rtl w:val="0"/>
        </w:rPr>
        <w:t xml:space="preserve"> Numbers and Gender</w:t>
      </w:r>
    </w:p>
    <w:p w:rsidR="00000000" w:rsidDel="00000000" w:rsidP="00000000" w:rsidRDefault="00000000" w:rsidRPr="00000000" w14:paraId="00000020">
      <w:pPr>
        <w:rPr/>
      </w:pPr>
      <w:r w:rsidDel="00000000" w:rsidR="00000000" w:rsidRPr="00000000">
        <w:rPr>
          <w:rtl w:val="0"/>
        </w:rPr>
        <w:t xml:space="preserve">In Croatian, only numbers </w:t>
      </w:r>
      <w:r w:rsidDel="00000000" w:rsidR="00000000" w:rsidRPr="00000000">
        <w:rPr>
          <w:b w:val="1"/>
          <w:rtl w:val="0"/>
        </w:rPr>
        <w:t xml:space="preserve">jedan</w:t>
      </w:r>
      <w:r w:rsidDel="00000000" w:rsidR="00000000" w:rsidRPr="00000000">
        <w:rPr>
          <w:rtl w:val="0"/>
        </w:rPr>
        <w:t xml:space="preserve"> (one) and </w:t>
      </w:r>
      <w:r w:rsidDel="00000000" w:rsidR="00000000" w:rsidRPr="00000000">
        <w:rPr>
          <w:b w:val="1"/>
          <w:rtl w:val="0"/>
        </w:rPr>
        <w:t xml:space="preserve">dva</w:t>
      </w:r>
      <w:r w:rsidDel="00000000" w:rsidR="00000000" w:rsidRPr="00000000">
        <w:rPr>
          <w:rtl w:val="0"/>
        </w:rPr>
        <w:t xml:space="preserve"> (two) change their gender based on the noun that they precede. The same rule applies to all numbers which end in 1 or 2, such as </w:t>
      </w:r>
      <w:r w:rsidDel="00000000" w:rsidR="00000000" w:rsidRPr="00000000">
        <w:rPr>
          <w:i w:val="1"/>
          <w:rtl w:val="0"/>
        </w:rPr>
        <w:t xml:space="preserve">dvadeset jedan</w:t>
      </w:r>
      <w:r w:rsidDel="00000000" w:rsidR="00000000" w:rsidRPr="00000000">
        <w:rPr>
          <w:rtl w:val="0"/>
        </w:rPr>
        <w:t xml:space="preserve"> (twenty one), </w:t>
      </w:r>
      <w:r w:rsidDel="00000000" w:rsidR="00000000" w:rsidRPr="00000000">
        <w:rPr>
          <w:i w:val="1"/>
          <w:rtl w:val="0"/>
        </w:rPr>
        <w:t xml:space="preserve">trideset dva</w:t>
      </w:r>
      <w:r w:rsidDel="00000000" w:rsidR="00000000" w:rsidRPr="00000000">
        <w:rPr>
          <w:rtl w:val="0"/>
        </w:rPr>
        <w:t xml:space="preserve"> (thirty two) and so on. The numbers </w:t>
      </w:r>
      <w:r w:rsidDel="00000000" w:rsidR="00000000" w:rsidRPr="00000000">
        <w:rPr>
          <w:i w:val="1"/>
          <w:rtl w:val="0"/>
        </w:rPr>
        <w:t xml:space="preserve">jedanaest</w:t>
      </w:r>
      <w:r w:rsidDel="00000000" w:rsidR="00000000" w:rsidRPr="00000000">
        <w:rPr>
          <w:rtl w:val="0"/>
        </w:rPr>
        <w:t xml:space="preserve"> (eleven) and </w:t>
      </w:r>
      <w:r w:rsidDel="00000000" w:rsidR="00000000" w:rsidRPr="00000000">
        <w:rPr>
          <w:i w:val="1"/>
          <w:rtl w:val="0"/>
        </w:rPr>
        <w:t xml:space="preserve">dvanaest</w:t>
      </w:r>
      <w:r w:rsidDel="00000000" w:rsidR="00000000" w:rsidRPr="00000000">
        <w:rPr>
          <w:rtl w:val="0"/>
        </w:rPr>
        <w:t xml:space="preserve"> (twelve) are not exceptions. The digits end with 1 and 2 when written down (11, 12), but since the words themselves do NOT end with </w:t>
      </w:r>
      <w:r w:rsidDel="00000000" w:rsidR="00000000" w:rsidRPr="00000000">
        <w:rPr>
          <w:i w:val="1"/>
          <w:rtl w:val="0"/>
        </w:rPr>
        <w:t xml:space="preserve">jedan</w:t>
      </w:r>
      <w:r w:rsidDel="00000000" w:rsidR="00000000" w:rsidRPr="00000000">
        <w:rPr>
          <w:rtl w:val="0"/>
        </w:rPr>
        <w:t xml:space="preserve"> or </w:t>
      </w:r>
      <w:r w:rsidDel="00000000" w:rsidR="00000000" w:rsidRPr="00000000">
        <w:rPr>
          <w:i w:val="1"/>
          <w:rtl w:val="0"/>
        </w:rPr>
        <w:t xml:space="preserve">dva</w:t>
      </w:r>
      <w:r w:rsidDel="00000000" w:rsidR="00000000" w:rsidRPr="00000000">
        <w:rPr>
          <w:rtl w:val="0"/>
        </w:rPr>
        <w:t xml:space="preserve">, these words don't </w:t>
      </w:r>
      <w:r w:rsidDel="00000000" w:rsidR="00000000" w:rsidRPr="00000000">
        <w:rPr>
          <w:rtl w:val="0"/>
        </w:rPr>
        <w:t xml:space="preserve">change</w:t>
      </w:r>
      <w:r w:rsidDel="00000000" w:rsidR="00000000" w:rsidRPr="00000000">
        <w:rPr>
          <w:rtl w:val="0"/>
        </w:rPr>
        <w:t xml:space="preserve">! All other numbers stay the same, regardless of the gender of the noun.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t xml:space="preserve">broj</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22">
            <w:pPr>
              <w:spacing w:line="240" w:lineRule="auto"/>
              <w:rPr/>
            </w:pPr>
            <w:r w:rsidDel="00000000" w:rsidR="00000000" w:rsidRPr="00000000">
              <w:rPr>
                <w:rtl w:val="0"/>
              </w:rPr>
              <w:t xml:space="preserve">masculine</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rPr/>
            </w:pPr>
            <w:r w:rsidDel="00000000" w:rsidR="00000000" w:rsidRPr="00000000">
              <w:rPr>
                <w:rtl w:val="0"/>
              </w:rPr>
              <w:t xml:space="preserve">feminine</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24">
            <w:pPr>
              <w:spacing w:line="240" w:lineRule="auto"/>
              <w:rPr/>
            </w:pPr>
            <w:r w:rsidDel="00000000" w:rsidR="00000000" w:rsidRPr="00000000">
              <w:rPr>
                <w:rtl w:val="0"/>
              </w:rPr>
              <w:t xml:space="preserve">neuter</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rPr/>
            </w:pPr>
            <w:r w:rsidDel="00000000" w:rsidR="00000000" w:rsidRPr="00000000">
              <w:rPr>
                <w:rtl w:val="0"/>
              </w:rPr>
              <w:t xml:space="preserve">1 [jedan]</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r w:rsidDel="00000000" w:rsidR="00000000" w:rsidRPr="00000000">
              <w:rPr>
                <w:rtl w:val="0"/>
              </w:rPr>
              <w:t xml:space="preserve">jedan sir</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spacing w:line="240" w:lineRule="auto"/>
              <w:rPr/>
            </w:pPr>
            <w:r w:rsidDel="00000000" w:rsidR="00000000" w:rsidRPr="00000000">
              <w:rPr>
                <w:rtl w:val="0"/>
              </w:rPr>
              <w:t xml:space="preserve">jedna jabuka</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spacing w:line="240" w:lineRule="auto"/>
              <w:rPr/>
            </w:pPr>
            <w:r w:rsidDel="00000000" w:rsidR="00000000" w:rsidRPr="00000000">
              <w:rPr>
                <w:rtl w:val="0"/>
              </w:rPr>
              <w:t xml:space="preserve">jedno mlijeko</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spacing w:line="240" w:lineRule="auto"/>
              <w:rPr/>
            </w:pPr>
            <w:r w:rsidDel="00000000" w:rsidR="00000000" w:rsidRPr="00000000">
              <w:rPr>
                <w:rtl w:val="0"/>
              </w:rPr>
              <w:t xml:space="preserve">2 [dva]</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rPr/>
            </w:pPr>
            <w:r w:rsidDel="00000000" w:rsidR="00000000" w:rsidRPr="00000000">
              <w:rPr>
                <w:rtl w:val="0"/>
              </w:rPr>
              <w:t xml:space="preserve">dva sira</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spacing w:line="240" w:lineRule="auto"/>
              <w:rPr/>
            </w:pPr>
            <w:r w:rsidDel="00000000" w:rsidR="00000000" w:rsidRPr="00000000">
              <w:rPr>
                <w:rtl w:val="0"/>
              </w:rPr>
              <w:t xml:space="preserve">dvije jabuke</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rPr/>
            </w:pPr>
            <w:r w:rsidDel="00000000" w:rsidR="00000000" w:rsidRPr="00000000">
              <w:rPr>
                <w:rtl w:val="0"/>
              </w:rPr>
              <w:t xml:space="preserve">dva mlijeka</w:t>
            </w:r>
          </w:p>
        </w:tc>
      </w:tr>
    </w:tbl>
    <w:p w:rsidR="00000000" w:rsidDel="00000000" w:rsidP="00000000" w:rsidRDefault="00000000" w:rsidRPr="00000000" w14:paraId="0000002D">
      <w:pPr>
        <w:pStyle w:val="Heading1"/>
        <w:rPr/>
      </w:pPr>
      <w:bookmarkStart w:colFirst="0" w:colLast="0" w:name="_fq08w2e93qym" w:id="4"/>
      <w:bookmarkEnd w:id="4"/>
      <w:r w:rsidDel="00000000" w:rsidR="00000000" w:rsidRPr="00000000">
        <w:rPr>
          <w:color w:val="dd26b6"/>
          <w:rtl w:val="0"/>
        </w:rPr>
        <w:t xml:space="preserve">|</w:t>
      </w:r>
      <w:r w:rsidDel="00000000" w:rsidR="00000000" w:rsidRPr="00000000">
        <w:rPr>
          <w:rtl w:val="0"/>
        </w:rPr>
        <w:t xml:space="preserve"> Numbers and Case</w:t>
      </w:r>
    </w:p>
    <w:p w:rsidR="00000000" w:rsidDel="00000000" w:rsidP="00000000" w:rsidRDefault="00000000" w:rsidRPr="00000000" w14:paraId="0000002E">
      <w:pPr>
        <w:rPr/>
      </w:pPr>
      <w:r w:rsidDel="00000000" w:rsidR="00000000" w:rsidRPr="00000000">
        <w:rPr>
          <w:rtl w:val="0"/>
        </w:rPr>
        <w:t xml:space="preserve">Numbers one and two change their forms based on the case we need to use. Both numbers use the same ending as adjectives. For now, we are only focusing on numbers one and two when talking about quantity. What case should we use when talking about how much of something we have? Look at the explanations below. </w:t>
      </w:r>
    </w:p>
    <w:p w:rsidR="00000000" w:rsidDel="00000000" w:rsidP="00000000" w:rsidRDefault="00000000" w:rsidRPr="00000000" w14:paraId="0000002F">
      <w:pPr>
        <w:pStyle w:val="Heading2"/>
        <w:rPr/>
      </w:pPr>
      <w:bookmarkStart w:colFirst="0" w:colLast="0" w:name="_35zf6nw0292h" w:id="5"/>
      <w:bookmarkEnd w:id="5"/>
      <w:r w:rsidDel="00000000" w:rsidR="00000000" w:rsidRPr="00000000">
        <w:rPr>
          <w:color w:val="ff8fe2"/>
          <w:rtl w:val="0"/>
        </w:rPr>
        <w:t xml:space="preserve">|</w:t>
      </w:r>
      <w:r w:rsidDel="00000000" w:rsidR="00000000" w:rsidRPr="00000000">
        <w:rPr>
          <w:rtl w:val="0"/>
        </w:rPr>
        <w:t xml:space="preserve"> Accusative Case With Number 1 </w:t>
      </w:r>
    </w:p>
    <w:p w:rsidR="00000000" w:rsidDel="00000000" w:rsidP="00000000" w:rsidRDefault="00000000" w:rsidRPr="00000000" w14:paraId="00000030">
      <w:pPr>
        <w:rPr/>
      </w:pPr>
      <w:r w:rsidDel="00000000" w:rsidR="00000000" w:rsidRPr="00000000">
        <w:rPr>
          <w:rtl w:val="0"/>
        </w:rPr>
        <w:t xml:space="preserve">When talking about quantity (i.e., how much of something we have) and referring to number one, we need to use the Accusative case. Look at the following example.</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3817.5"/>
        <w:gridCol w:w="3817.5"/>
        <w:tblGridChange w:id="0">
          <w:tblGrid>
            <w:gridCol w:w="1725"/>
            <w:gridCol w:w="3817.5"/>
            <w:gridCol w:w="3817.5"/>
          </w:tblGrid>
        </w:tblGridChange>
      </w:tblGrid>
      <w:tr>
        <w:trPr>
          <w:cantSplit w:val="0"/>
          <w:tblHeader w:val="0"/>
        </w:trPr>
        <w:tc>
          <w:tcPr>
            <w:tcBorders>
              <w:top w:color="000000" w:space="0" w:sz="18" w:val="single"/>
              <w:left w:color="ffffff" w:space="0" w:sz="4" w:val="single"/>
              <w:bottom w:color="000000" w:space="0" w:sz="18" w:val="single"/>
              <w:right w:color="ffffff"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gender:</w:t>
            </w:r>
          </w:p>
        </w:tc>
        <w:tc>
          <w:tcPr>
            <w:tcBorders>
              <w:top w:color="000000" w:space="0" w:sz="18" w:val="single"/>
              <w:left w:color="ffffff" w:space="0" w:sz="4" w:val="single"/>
              <w:bottom w:color="000000" w:space="0" w:sz="18" w:val="single"/>
              <w:right w:color="ffffff"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Croatian </w:t>
            </w:r>
          </w:p>
        </w:tc>
        <w:tc>
          <w:tcPr>
            <w:tcBorders>
              <w:top w:color="000000" w:space="0" w:sz="18" w:val="single"/>
              <w:left w:color="ffffff" w:space="0" w:sz="4" w:val="single"/>
              <w:bottom w:color="000000" w:space="0" w:sz="18" w:val="single"/>
              <w:right w:color="ffffff"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English </w:t>
            </w:r>
          </w:p>
        </w:tc>
      </w:tr>
      <w:tr>
        <w:trPr>
          <w:cantSplit w:val="0"/>
          <w:tblHeader w:val="0"/>
        </w:trPr>
        <w:tc>
          <w:tcPr>
            <w:tcBorders>
              <w:top w:color="000000" w:space="0" w:sz="18" w:val="single"/>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masculine</w:t>
            </w:r>
          </w:p>
        </w:tc>
        <w:tc>
          <w:tcPr>
            <w:tcBorders>
              <w:top w:color="000000" w:space="0" w:sz="18" w:val="single"/>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Imam samo jedan kolač za tebe.</w:t>
            </w:r>
          </w:p>
        </w:tc>
        <w:tc>
          <w:tcPr>
            <w:tcBorders>
              <w:top w:color="000000" w:space="0" w:sz="18" w:val="single"/>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I only have one cake left for you. </w:t>
            </w:r>
          </w:p>
        </w:tc>
      </w:tr>
      <w:tr>
        <w:trPr>
          <w:cantSplit w:val="0"/>
          <w:tblHeader w:val="0"/>
        </w:trPr>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feminine</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Moran u kupnju. Imam još samo jednu jabuku. </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I have to go shopping. I only have two apples left. </w:t>
            </w:r>
          </w:p>
        </w:tc>
      </w:tr>
      <w:tr>
        <w:trPr>
          <w:cantSplit w:val="0"/>
          <w:tblHeader w:val="0"/>
        </w:trPr>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neuter</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Imam samo jedno vrhnje. Moram u trgovinu.</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I only have one cream left. I need to go shopping.</w:t>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As you can see, the masculine form does not change its endings because it refers to an inanimate noun. The feminine form changes its endings based on the general rule for feminine nouns in the Accusative case. The neuter gender does not change its form because that is the general rule for neuter nouns in the Accusative case. </w:t>
      </w:r>
    </w:p>
    <w:p w:rsidR="00000000" w:rsidDel="00000000" w:rsidP="00000000" w:rsidRDefault="00000000" w:rsidRPr="00000000" w14:paraId="0000003F">
      <w:pPr>
        <w:pStyle w:val="Heading2"/>
        <w:rPr/>
      </w:pPr>
      <w:bookmarkStart w:colFirst="0" w:colLast="0" w:name="_auvwawfvb1bq" w:id="6"/>
      <w:bookmarkEnd w:id="6"/>
      <w:r w:rsidDel="00000000" w:rsidR="00000000" w:rsidRPr="00000000">
        <w:rPr>
          <w:color w:val="ff8fe2"/>
          <w:rtl w:val="0"/>
        </w:rPr>
        <w:t xml:space="preserve">|</w:t>
      </w:r>
      <w:r w:rsidDel="00000000" w:rsidR="00000000" w:rsidRPr="00000000">
        <w:rPr>
          <w:rtl w:val="0"/>
        </w:rPr>
        <w:t xml:space="preserve"> Genitive Case With Numbers </w:t>
      </w:r>
    </w:p>
    <w:p w:rsidR="00000000" w:rsidDel="00000000" w:rsidP="00000000" w:rsidRDefault="00000000" w:rsidRPr="00000000" w14:paraId="00000040">
      <w:pPr>
        <w:rPr/>
      </w:pPr>
      <w:r w:rsidDel="00000000" w:rsidR="00000000" w:rsidRPr="00000000">
        <w:rPr>
          <w:rtl w:val="0"/>
        </w:rPr>
        <w:t xml:space="preserve">The numbers 2, 3 and 4 require the use of Genitive singular. This rule also includes any words for numbers that end in </w:t>
      </w:r>
      <w:r w:rsidDel="00000000" w:rsidR="00000000" w:rsidRPr="00000000">
        <w:rPr>
          <w:i w:val="1"/>
          <w:rtl w:val="0"/>
        </w:rPr>
        <w:t xml:space="preserve">dva</w:t>
      </w:r>
      <w:r w:rsidDel="00000000" w:rsidR="00000000" w:rsidRPr="00000000">
        <w:rPr>
          <w:rtl w:val="0"/>
        </w:rPr>
        <w:t xml:space="preserve">, </w:t>
      </w:r>
      <w:r w:rsidDel="00000000" w:rsidR="00000000" w:rsidRPr="00000000">
        <w:rPr>
          <w:i w:val="1"/>
          <w:rtl w:val="0"/>
        </w:rPr>
        <w:t xml:space="preserve">tri</w:t>
      </w:r>
      <w:r w:rsidDel="00000000" w:rsidR="00000000" w:rsidRPr="00000000">
        <w:rPr>
          <w:rtl w:val="0"/>
        </w:rPr>
        <w:t xml:space="preserve">, </w:t>
      </w:r>
      <w:r w:rsidDel="00000000" w:rsidR="00000000" w:rsidRPr="00000000">
        <w:rPr>
          <w:i w:val="1"/>
          <w:rtl w:val="0"/>
        </w:rPr>
        <w:t xml:space="preserve">četiri</w:t>
      </w:r>
      <w:r w:rsidDel="00000000" w:rsidR="00000000" w:rsidRPr="00000000">
        <w:rPr>
          <w:rtl w:val="0"/>
        </w:rPr>
        <w:t xml:space="preserve"> – such as 22, 23, 24, 132, 243, 254, etc.</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3817.5"/>
        <w:gridCol w:w="3817.5"/>
        <w:tblGridChange w:id="0">
          <w:tblGrid>
            <w:gridCol w:w="1725"/>
            <w:gridCol w:w="3817.5"/>
            <w:gridCol w:w="3817.5"/>
          </w:tblGrid>
        </w:tblGridChange>
      </w:tblGrid>
      <w:tr>
        <w:trPr>
          <w:cantSplit w:val="0"/>
          <w:tblHeader w:val="0"/>
        </w:trPr>
        <w:tc>
          <w:tcPr>
            <w:tcBorders>
              <w:top w:color="000000" w:space="0" w:sz="18" w:val="single"/>
              <w:left w:color="ffffff" w:space="0" w:sz="4" w:val="single"/>
              <w:bottom w:color="000000" w:space="0" w:sz="18" w:val="single"/>
              <w:right w:color="ffffff"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gender:</w:t>
            </w:r>
          </w:p>
        </w:tc>
        <w:tc>
          <w:tcPr>
            <w:tcBorders>
              <w:top w:color="000000" w:space="0" w:sz="18" w:val="single"/>
              <w:left w:color="ffffff" w:space="0" w:sz="4" w:val="single"/>
              <w:bottom w:color="000000" w:space="0" w:sz="18" w:val="single"/>
              <w:right w:color="ffffff"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Croatian </w:t>
            </w:r>
          </w:p>
        </w:tc>
        <w:tc>
          <w:tcPr>
            <w:tcBorders>
              <w:top w:color="000000" w:space="0" w:sz="18" w:val="single"/>
              <w:left w:color="ffffff" w:space="0" w:sz="4" w:val="single"/>
              <w:bottom w:color="000000" w:space="0" w:sz="18" w:val="single"/>
              <w:right w:color="ffffff"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English </w:t>
            </w:r>
          </w:p>
        </w:tc>
      </w:tr>
      <w:tr>
        <w:trPr>
          <w:cantSplit w:val="0"/>
          <w:tblHeader w:val="0"/>
        </w:trPr>
        <w:tc>
          <w:tcPr>
            <w:tcBorders>
              <w:top w:color="000000" w:space="0" w:sz="18" w:val="single"/>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masculine</w:t>
            </w:r>
          </w:p>
        </w:tc>
        <w:tc>
          <w:tcPr>
            <w:tcBorders>
              <w:top w:color="000000" w:space="0" w:sz="18" w:val="single"/>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Imam dva pudinga za tebe.</w:t>
            </w:r>
          </w:p>
        </w:tc>
        <w:tc>
          <w:tcPr>
            <w:tcBorders>
              <w:top w:color="000000" w:space="0" w:sz="18" w:val="single"/>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I have two puddings for you. </w:t>
            </w:r>
          </w:p>
        </w:tc>
      </w:tr>
      <w:tr>
        <w:trPr>
          <w:cantSplit w:val="0"/>
          <w:tblHeader w:val="0"/>
        </w:trPr>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feminine</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Hoćeš li dvije jabuke?</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Do you want these two apples?</w:t>
            </w:r>
          </w:p>
        </w:tc>
      </w:tr>
      <w:tr>
        <w:trPr>
          <w:cantSplit w:val="0"/>
          <w:tblHeader w:val="0"/>
        </w:trPr>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neuter</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Ova dva mlijeka nisu dobra.</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These two milks are not good. </w:t>
            </w:r>
          </w:p>
        </w:tc>
      </w:tr>
    </w:tbl>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 numbers 5 and onward require the use of genitive plural.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3817.5"/>
        <w:gridCol w:w="3817.5"/>
        <w:tblGridChange w:id="0">
          <w:tblGrid>
            <w:gridCol w:w="1725"/>
            <w:gridCol w:w="3817.5"/>
            <w:gridCol w:w="3817.5"/>
          </w:tblGrid>
        </w:tblGridChange>
      </w:tblGrid>
      <w:tr>
        <w:trPr>
          <w:cantSplit w:val="0"/>
          <w:tblHeader w:val="0"/>
        </w:trPr>
        <w:tc>
          <w:tcPr>
            <w:tcBorders>
              <w:top w:color="000000" w:space="0" w:sz="18" w:val="single"/>
              <w:left w:color="ffffff" w:space="0" w:sz="4" w:val="single"/>
              <w:bottom w:color="000000" w:space="0" w:sz="18" w:val="single"/>
              <w:right w:color="ffffff"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gender:</w:t>
            </w:r>
          </w:p>
        </w:tc>
        <w:tc>
          <w:tcPr>
            <w:tcBorders>
              <w:top w:color="000000" w:space="0" w:sz="18" w:val="single"/>
              <w:left w:color="ffffff" w:space="0" w:sz="4" w:val="single"/>
              <w:bottom w:color="000000" w:space="0" w:sz="18" w:val="single"/>
              <w:right w:color="ffffff"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Croatian </w:t>
            </w:r>
          </w:p>
        </w:tc>
        <w:tc>
          <w:tcPr>
            <w:tcBorders>
              <w:top w:color="000000" w:space="0" w:sz="18" w:val="single"/>
              <w:left w:color="ffffff" w:space="0" w:sz="4" w:val="single"/>
              <w:bottom w:color="000000" w:space="0" w:sz="18" w:val="single"/>
              <w:right w:color="ffffff"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English </w:t>
            </w:r>
          </w:p>
        </w:tc>
      </w:tr>
      <w:tr>
        <w:trPr>
          <w:cantSplit w:val="0"/>
          <w:tblHeader w:val="0"/>
        </w:trPr>
        <w:tc>
          <w:tcPr>
            <w:tcBorders>
              <w:top w:color="000000" w:space="0" w:sz="18" w:val="single"/>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masculine</w:t>
            </w:r>
          </w:p>
        </w:tc>
        <w:tc>
          <w:tcPr>
            <w:tcBorders>
              <w:top w:color="000000" w:space="0" w:sz="18" w:val="single"/>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Imam pet jogurta u hladnjaku.</w:t>
            </w:r>
          </w:p>
        </w:tc>
        <w:tc>
          <w:tcPr>
            <w:tcBorders>
              <w:top w:color="000000" w:space="0" w:sz="18" w:val="single"/>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t xml:space="preserve">I have five yogurts in the fridge.</w:t>
            </w:r>
          </w:p>
        </w:tc>
      </w:tr>
      <w:tr>
        <w:trPr>
          <w:cantSplit w:val="0"/>
          <w:tblHeader w:val="0"/>
        </w:trPr>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t xml:space="preserve">feminine</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Imam pet banana u košari.</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t xml:space="preserve">I have five bananas in my basket.</w:t>
            </w:r>
          </w:p>
        </w:tc>
      </w:tr>
      <w:tr>
        <w:trPr>
          <w:cantSplit w:val="0"/>
          <w:tblHeader w:val="0"/>
        </w:trPr>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neuter</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Ovih pet mlijeka je za nas.</w:t>
            </w:r>
          </w:p>
        </w:tc>
        <w:tc>
          <w:tcPr>
            <w:tcBorders>
              <w:top w:color="000000" w:space="0" w:sz="4" w:val="dotted"/>
              <w:left w:color="ffffff" w:space="0" w:sz="4" w:val="single"/>
              <w:bottom w:color="000000" w:space="0" w:sz="4" w:val="dotted"/>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t xml:space="preserve">These five milks are for us. </w:t>
            </w:r>
          </w:p>
        </w:tc>
      </w:tr>
    </w:tbl>
    <w:p w:rsidR="00000000" w:rsidDel="00000000" w:rsidP="00000000" w:rsidRDefault="00000000" w:rsidRPr="00000000" w14:paraId="0000005B">
      <w:pPr>
        <w:pStyle w:val="Heading1"/>
        <w:spacing w:line="240" w:lineRule="auto"/>
        <w:rPr>
          <w:color w:val="dd26b6"/>
        </w:rPr>
      </w:pPr>
      <w:bookmarkStart w:colFirst="0" w:colLast="0" w:name="_n7xxvlbj2ax1" w:id="7"/>
      <w:bookmarkEnd w:id="7"/>
      <w:r w:rsidDel="00000000" w:rsidR="00000000" w:rsidRPr="00000000">
        <w:rPr>
          <w:color w:val="dd26b6"/>
          <w:rtl w:val="0"/>
        </w:rPr>
        <w:t xml:space="preserve">8.2 Zadatak 2. Koliko?</w:t>
      </w:r>
    </w:p>
    <w:p w:rsidR="00000000" w:rsidDel="00000000" w:rsidP="00000000" w:rsidRDefault="00000000" w:rsidRPr="00000000" w14:paraId="0000005C">
      <w:pPr>
        <w:rPr/>
      </w:pPr>
      <w:r w:rsidDel="00000000" w:rsidR="00000000" w:rsidRPr="00000000">
        <w:rPr>
          <w:rtl w:val="0"/>
        </w:rPr>
        <w:t xml:space="preserve">You will hear a number of sentences giving a certain quantity. Listen to the start of the expression and pick the correct form of the feminine noun that appropriately finishes the sentence.</w:t>
      </w:r>
    </w:p>
    <w:p w:rsidR="00000000" w:rsidDel="00000000" w:rsidP="00000000" w:rsidRDefault="00000000" w:rsidRPr="00000000" w14:paraId="0000005D">
      <w:pPr>
        <w:rPr/>
      </w:pPr>
      <w:r w:rsidDel="00000000" w:rsidR="00000000" w:rsidRPr="00000000">
        <w:rPr>
          <w:rtl w:val="0"/>
        </w:rPr>
        <w:t xml:space="preserve">[h5p id="820"]</w:t>
      </w:r>
    </w:p>
    <w:p w:rsidR="00000000" w:rsidDel="00000000" w:rsidP="00000000" w:rsidRDefault="00000000" w:rsidRPr="00000000" w14:paraId="0000005E">
      <w:pPr>
        <w:pStyle w:val="Heading1"/>
        <w:rPr/>
      </w:pPr>
      <w:bookmarkStart w:colFirst="0" w:colLast="0" w:name="_3hld8w2gkc8i" w:id="8"/>
      <w:bookmarkEnd w:id="8"/>
      <w:r w:rsidDel="00000000" w:rsidR="00000000" w:rsidRPr="00000000">
        <w:rPr>
          <w:color w:val="dd26b6"/>
          <w:rtl w:val="0"/>
        </w:rPr>
        <w:t xml:space="preserve">|</w:t>
      </w:r>
      <w:r w:rsidDel="00000000" w:rsidR="00000000" w:rsidRPr="00000000">
        <w:rPr>
          <w:rtl w:val="0"/>
        </w:rPr>
        <w:t xml:space="preserve"> Few Exceptions in the Genitive Plural</w:t>
      </w:r>
    </w:p>
    <w:p w:rsidR="00000000" w:rsidDel="00000000" w:rsidP="00000000" w:rsidRDefault="00000000" w:rsidRPr="00000000" w14:paraId="0000005F">
      <w:pPr>
        <w:rPr/>
      </w:pPr>
      <w:r w:rsidDel="00000000" w:rsidR="00000000" w:rsidRPr="00000000">
        <w:rPr>
          <w:rtl w:val="0"/>
        </w:rPr>
        <w:t xml:space="preserve">Some words like </w:t>
      </w:r>
      <w:r w:rsidDel="00000000" w:rsidR="00000000" w:rsidRPr="00000000">
        <w:rPr>
          <w:b w:val="1"/>
          <w:sz w:val="26"/>
          <w:szCs w:val="26"/>
          <w:rtl w:val="0"/>
        </w:rPr>
        <w:t xml:space="preserve">cent</w:t>
      </w:r>
      <w:r w:rsidDel="00000000" w:rsidR="00000000" w:rsidRPr="00000000">
        <w:rPr>
          <w:rtl w:val="0"/>
        </w:rPr>
        <w:t xml:space="preserve"> (cent), </w:t>
      </w:r>
      <w:r w:rsidDel="00000000" w:rsidR="00000000" w:rsidRPr="00000000">
        <w:rPr>
          <w:b w:val="1"/>
          <w:sz w:val="26"/>
          <w:szCs w:val="26"/>
          <w:rtl w:val="0"/>
        </w:rPr>
        <w:t xml:space="preserve">mjesec</w:t>
      </w:r>
      <w:r w:rsidDel="00000000" w:rsidR="00000000" w:rsidRPr="00000000">
        <w:rPr>
          <w:rtl w:val="0"/>
        </w:rPr>
        <w:t xml:space="preserve"> (month) or </w:t>
      </w:r>
      <w:r w:rsidDel="00000000" w:rsidR="00000000" w:rsidRPr="00000000">
        <w:rPr>
          <w:b w:val="1"/>
          <w:sz w:val="26"/>
          <w:szCs w:val="26"/>
          <w:rtl w:val="0"/>
        </w:rPr>
        <w:t xml:space="preserve">sat</w:t>
      </w:r>
      <w:r w:rsidDel="00000000" w:rsidR="00000000" w:rsidRPr="00000000">
        <w:rPr>
          <w:rtl w:val="0"/>
        </w:rPr>
        <w:t xml:space="preserve"> (hour) in Genitive plural end in </w:t>
      </w:r>
      <w:r w:rsidDel="00000000" w:rsidR="00000000" w:rsidRPr="00000000">
        <w:rPr>
          <w:b w:val="1"/>
          <w:sz w:val="26"/>
          <w:szCs w:val="26"/>
          <w:rtl w:val="0"/>
        </w:rPr>
        <w:t xml:space="preserve">-i</w:t>
      </w:r>
      <w:r w:rsidDel="00000000" w:rsidR="00000000" w:rsidRPr="00000000">
        <w:rPr>
          <w:rtl w:val="0"/>
        </w:rPr>
        <w:t xml:space="preserve">:</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1261.6210937500002" w:hRule="atLeast"/>
          <w:tblHeader w:val="0"/>
        </w:trPr>
        <w:tc>
          <w:tcPr>
            <w:vMerge w:val="restart"/>
            <w:tcBorders>
              <w:top w:color="000000" w:space="0" w:sz="4" w:val="dotted"/>
              <w:left w:color="000000" w:space="0" w:sz="0" w:val="nil"/>
              <w:bottom w:color="000000" w:space="0" w:sz="4" w:val="dotted"/>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60">
            <w:pPr>
              <w:spacing w:line="240" w:lineRule="auto"/>
              <w:rPr>
                <w:b w:val="1"/>
              </w:rPr>
            </w:pPr>
            <w:r w:rsidDel="00000000" w:rsidR="00000000" w:rsidRPr="00000000">
              <w:rPr>
                <w:rtl w:val="0"/>
              </w:rPr>
            </w:r>
          </w:p>
          <w:p w:rsidR="00000000" w:rsidDel="00000000" w:rsidP="00000000" w:rsidRDefault="00000000" w:rsidRPr="00000000" w14:paraId="00000061">
            <w:pPr>
              <w:spacing w:line="240" w:lineRule="auto"/>
              <w:rPr>
                <w:b w:val="1"/>
              </w:rPr>
            </w:pPr>
            <w:r w:rsidDel="00000000" w:rsidR="00000000" w:rsidRPr="00000000">
              <w:rPr>
                <w:b w:val="1"/>
                <w:rtl w:val="0"/>
              </w:rPr>
              <w:t xml:space="preserve">cent</w:t>
            </w:r>
          </w:p>
        </w:tc>
        <w:tc>
          <w:tcPr>
            <w:tcBorders>
              <w:top w:color="000000" w:space="0" w:sz="4" w:val="dotted"/>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jc w:val="center"/>
              <w:rPr/>
            </w:pPr>
            <w:hyperlink r:id="rId6">
              <w:r w:rsidDel="00000000" w:rsidR="00000000" w:rsidRPr="00000000">
                <w:rPr>
                  <w:color w:val="1155cc"/>
                  <w:u w:val="single"/>
                </w:rPr>
                <w:drawing>
                  <wp:inline distB="114300" distT="114300" distL="114300" distR="114300">
                    <wp:extent cx="619125" cy="629758"/>
                    <wp:effectExtent b="0" l="0" r="0" t="0"/>
                    <wp:docPr id="5" name="image10.png"/>
                    <a:graphic>
                      <a:graphicData uri="http://schemas.openxmlformats.org/drawingml/2006/picture">
                        <pic:pic>
                          <pic:nvPicPr>
                            <pic:cNvPr id="0" name="image10.png"/>
                            <pic:cNvPicPr preferRelativeResize="0"/>
                          </pic:nvPicPr>
                          <pic:blipFill>
                            <a:blip r:embed="rId7"/>
                            <a:srcRect b="25955" l="26760" r="27464" t="27860"/>
                            <a:stretch>
                              <a:fillRect/>
                            </a:stretch>
                          </pic:blipFill>
                          <pic:spPr>
                            <a:xfrm>
                              <a:off x="0" y="0"/>
                              <a:ext cx="619125" cy="629758"/>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jc w:val="center"/>
              <w:rPr/>
            </w:pPr>
            <w:hyperlink r:id="rId8">
              <w:r w:rsidDel="00000000" w:rsidR="00000000" w:rsidRPr="00000000">
                <w:rPr>
                  <w:color w:val="1155cc"/>
                  <w:u w:val="single"/>
                </w:rPr>
                <w:drawing>
                  <wp:inline distB="114300" distT="114300" distL="114300" distR="114300">
                    <wp:extent cx="576263" cy="576263"/>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6263" cy="576263"/>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jc w:val="center"/>
              <w:rPr/>
            </w:pPr>
            <w:hyperlink r:id="rId10">
              <w:r w:rsidDel="00000000" w:rsidR="00000000" w:rsidRPr="00000000">
                <w:rPr>
                  <w:color w:val="1155cc"/>
                  <w:u w:val="single"/>
                </w:rPr>
                <w:drawing>
                  <wp:inline distB="114300" distT="114300" distL="114300" distR="114300">
                    <wp:extent cx="642938" cy="632398"/>
                    <wp:effectExtent b="0" l="0" r="0" t="0"/>
                    <wp:docPr id="7" name="image9.png"/>
                    <a:graphic>
                      <a:graphicData uri="http://schemas.openxmlformats.org/drawingml/2006/picture">
                        <pic:pic>
                          <pic:nvPicPr>
                            <pic:cNvPr id="0" name="image9.png"/>
                            <pic:cNvPicPr preferRelativeResize="0"/>
                          </pic:nvPicPr>
                          <pic:blipFill>
                            <a:blip r:embed="rId11"/>
                            <a:srcRect b="24147" l="24647" r="26056" t="23945"/>
                            <a:stretch>
                              <a:fillRect/>
                            </a:stretch>
                          </pic:blipFill>
                          <pic:spPr>
                            <a:xfrm>
                              <a:off x="0" y="0"/>
                              <a:ext cx="642938" cy="632398"/>
                            </a:xfrm>
                            <a:prstGeom prst="rect"/>
                            <a:ln/>
                          </pic:spPr>
                        </pic:pic>
                      </a:graphicData>
                    </a:graphic>
                  </wp:inline>
                </w:drawing>
              </w:r>
            </w:hyperlink>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bottom w:color="000000" w:space="0" w:sz="4" w:val="dotted"/>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65">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4" w:val="dotted"/>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jc w:val="center"/>
              <w:rPr/>
            </w:pPr>
            <w:r w:rsidDel="00000000" w:rsidR="00000000" w:rsidRPr="00000000">
              <w:rPr>
                <w:rtl w:val="0"/>
              </w:rPr>
              <w:t xml:space="preserve">jedan cent</w:t>
            </w:r>
          </w:p>
        </w:tc>
        <w:tc>
          <w:tcPr>
            <w:tcBorders>
              <w:top w:color="000000" w:space="0" w:sz="0" w:val="nil"/>
              <w:left w:color="000000" w:space="0" w:sz="0" w:val="nil"/>
              <w:bottom w:color="000000" w:space="0" w:sz="4" w:val="dotted"/>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jc w:val="center"/>
              <w:rPr/>
            </w:pPr>
            <w:r w:rsidDel="00000000" w:rsidR="00000000" w:rsidRPr="00000000">
              <w:rPr>
                <w:rtl w:val="0"/>
              </w:rPr>
              <w:t xml:space="preserve">dva centa</w:t>
            </w:r>
          </w:p>
        </w:tc>
        <w:tc>
          <w:tcPr>
            <w:tcBorders>
              <w:top w:color="000000" w:space="0" w:sz="0" w:val="nil"/>
              <w:left w:color="000000" w:space="0" w:sz="0" w:val="nil"/>
              <w:bottom w:color="000000" w:space="0" w:sz="4" w:val="dotted"/>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jc w:val="center"/>
              <w:rPr/>
            </w:pPr>
            <w:r w:rsidDel="00000000" w:rsidR="00000000" w:rsidRPr="00000000">
              <w:rPr>
                <w:rtl w:val="0"/>
              </w:rPr>
              <w:t xml:space="preserve">pet centi</w:t>
            </w:r>
          </w:p>
        </w:tc>
      </w:tr>
      <w:tr>
        <w:trPr>
          <w:cantSplit w:val="0"/>
          <w:trHeight w:val="420" w:hRule="atLeast"/>
          <w:tblHeader w:val="0"/>
        </w:trPr>
        <w:tc>
          <w:tcPr>
            <w:vMerge w:val="restart"/>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9">
            <w:pPr>
              <w:spacing w:line="240" w:lineRule="auto"/>
              <w:rPr>
                <w:b w:val="1"/>
              </w:rPr>
            </w:pPr>
            <w:r w:rsidDel="00000000" w:rsidR="00000000" w:rsidRPr="00000000">
              <w:rPr>
                <w:rtl w:val="0"/>
              </w:rPr>
            </w:r>
          </w:p>
          <w:p w:rsidR="00000000" w:rsidDel="00000000" w:rsidP="00000000" w:rsidRDefault="00000000" w:rsidRPr="00000000" w14:paraId="0000006A">
            <w:pPr>
              <w:spacing w:line="240" w:lineRule="auto"/>
              <w:rPr>
                <w:b w:val="1"/>
              </w:rPr>
            </w:pPr>
            <w:r w:rsidDel="00000000" w:rsidR="00000000" w:rsidRPr="00000000">
              <w:rPr>
                <w:b w:val="1"/>
                <w:rtl w:val="0"/>
              </w:rPr>
              <w:t xml:space="preserve">mjesec (month)</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jc w:val="center"/>
              <w:rPr/>
            </w:pPr>
            <w:hyperlink r:id="rId12">
              <w:r w:rsidDel="00000000" w:rsidR="00000000" w:rsidRPr="00000000">
                <w:rPr>
                  <w:color w:val="1155cc"/>
                  <w:u w:val="single"/>
                </w:rPr>
                <w:drawing>
                  <wp:inline distB="114300" distT="114300" distL="114300" distR="114300">
                    <wp:extent cx="1352550" cy="889000"/>
                    <wp:effectExtent b="0" l="0" r="0" t="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352550" cy="8890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jc w:val="center"/>
              <w:rPr/>
            </w:pPr>
            <w:hyperlink r:id="rId14">
              <w:r w:rsidDel="00000000" w:rsidR="00000000" w:rsidRPr="00000000">
                <w:rPr>
                  <w:color w:val="1155cc"/>
                  <w:u w:val="single"/>
                </w:rPr>
                <w:drawing>
                  <wp:inline distB="114300" distT="114300" distL="114300" distR="114300">
                    <wp:extent cx="1352550" cy="889000"/>
                    <wp:effectExtent b="0" l="0" r="0" t="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352550" cy="8890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jc w:val="center"/>
              <w:rPr/>
            </w:pPr>
            <w:hyperlink r:id="rId16">
              <w:r w:rsidDel="00000000" w:rsidR="00000000" w:rsidRPr="00000000">
                <w:rPr>
                  <w:color w:val="1155cc"/>
                  <w:u w:val="single"/>
                </w:rPr>
                <w:drawing>
                  <wp:inline distB="114300" distT="114300" distL="114300" distR="114300">
                    <wp:extent cx="1352550" cy="889000"/>
                    <wp:effectExtent b="0" l="0" r="0" t="0"/>
                    <wp:docPr id="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352550" cy="889000"/>
                            </a:xfrm>
                            <a:prstGeom prst="rect"/>
                            <a:ln/>
                          </pic:spPr>
                        </pic:pic>
                      </a:graphicData>
                    </a:graphic>
                  </wp:inline>
                </w:drawing>
              </w:r>
            </w:hyperlink>
            <w:r w:rsidDel="00000000" w:rsidR="00000000" w:rsidRPr="00000000">
              <w:rPr>
                <w:rtl w:val="0"/>
              </w:rPr>
            </w:r>
          </w:p>
        </w:tc>
      </w:tr>
      <w:tr>
        <w:trPr>
          <w:cantSplit w:val="0"/>
          <w:trHeight w:val="420" w:hRule="atLeast"/>
          <w:tblHeader w:val="0"/>
        </w:trPr>
        <w:tc>
          <w:tcPr>
            <w:vMerge w:val="continue"/>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E">
            <w:pPr>
              <w:spacing w:after="0" w:before="0" w:line="240" w:lineRule="auto"/>
              <w:ind w:left="0" w:firstLine="0"/>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jc w:val="center"/>
              <w:rPr/>
            </w:pPr>
            <w:r w:rsidDel="00000000" w:rsidR="00000000" w:rsidRPr="00000000">
              <w:rPr>
                <w:rtl w:val="0"/>
              </w:rPr>
              <w:t xml:space="preserve">jedan mjesec</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jc w:val="center"/>
              <w:rPr/>
            </w:pPr>
            <w:r w:rsidDel="00000000" w:rsidR="00000000" w:rsidRPr="00000000">
              <w:rPr>
                <w:rtl w:val="0"/>
              </w:rPr>
              <w:t xml:space="preserve">dva mjeseca</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jc w:val="center"/>
              <w:rPr/>
            </w:pPr>
            <w:r w:rsidDel="00000000" w:rsidR="00000000" w:rsidRPr="00000000">
              <w:rPr>
                <w:rtl w:val="0"/>
              </w:rPr>
              <w:t xml:space="preserve">pet mjeseci</w:t>
            </w:r>
          </w:p>
        </w:tc>
      </w:tr>
      <w:tr>
        <w:trPr>
          <w:cantSplit w:val="0"/>
          <w:trHeight w:val="420" w:hRule="atLeast"/>
          <w:tblHeader w:val="0"/>
        </w:trPr>
        <w:tc>
          <w:tcPr>
            <w:vMerge w:val="restart"/>
            <w:tcBorders>
              <w:top w:color="000000" w:space="0" w:sz="4" w:val="dotted"/>
              <w:left w:color="000000" w:space="0" w:sz="0" w:val="nil"/>
              <w:bottom w:color="000000" w:space="0" w:sz="4" w:val="dotted"/>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72">
            <w:pPr>
              <w:spacing w:line="240" w:lineRule="auto"/>
              <w:rPr>
                <w:b w:val="1"/>
              </w:rPr>
            </w:pPr>
            <w:r w:rsidDel="00000000" w:rsidR="00000000" w:rsidRPr="00000000">
              <w:rPr>
                <w:rtl w:val="0"/>
              </w:rPr>
            </w:r>
          </w:p>
          <w:p w:rsidR="00000000" w:rsidDel="00000000" w:rsidP="00000000" w:rsidRDefault="00000000" w:rsidRPr="00000000" w14:paraId="00000073">
            <w:pPr>
              <w:spacing w:line="240" w:lineRule="auto"/>
              <w:rPr>
                <w:b w:val="1"/>
              </w:rPr>
            </w:pPr>
            <w:r w:rsidDel="00000000" w:rsidR="00000000" w:rsidRPr="00000000">
              <w:rPr>
                <w:b w:val="1"/>
                <w:rtl w:val="0"/>
              </w:rPr>
              <w:t xml:space="preserve">sat (hour)</w:t>
            </w:r>
          </w:p>
        </w:tc>
        <w:tc>
          <w:tcPr>
            <w:tcBorders>
              <w:top w:color="000000" w:space="0" w:sz="4" w:val="dotted"/>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jc w:val="center"/>
              <w:rPr/>
            </w:pPr>
            <w:r w:rsidDel="00000000" w:rsidR="00000000" w:rsidRPr="00000000">
              <w:rPr/>
              <w:drawing>
                <wp:inline distB="114300" distT="114300" distL="114300" distR="114300">
                  <wp:extent cx="585216" cy="585216"/>
                  <wp:effectExtent b="0" l="0" r="0" t="0"/>
                  <wp:docPr id="9"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85216" cy="585216"/>
                          </a:xfrm>
                          <a:prstGeom prst="rect"/>
                          <a:ln/>
                        </pic:spPr>
                      </pic:pic>
                    </a:graphicData>
                  </a:graphic>
                </wp:inline>
              </w:drawing>
            </w:r>
            <w:r w:rsidDel="00000000" w:rsidR="00000000" w:rsidRPr="00000000">
              <w:rPr>
                <w:rtl w:val="0"/>
              </w:rPr>
            </w:r>
          </w:p>
        </w:tc>
        <w:tc>
          <w:tcPr>
            <w:tcBorders>
              <w:top w:color="000000" w:space="0" w:sz="4" w:val="dotted"/>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jc w:val="center"/>
              <w:rPr/>
            </w:pPr>
            <w:r w:rsidDel="00000000" w:rsidR="00000000" w:rsidRPr="00000000">
              <w:rPr/>
              <w:drawing>
                <wp:inline distB="114300" distT="114300" distL="114300" distR="114300">
                  <wp:extent cx="585216" cy="585216"/>
                  <wp:effectExtent b="0" l="0" r="0" t="0"/>
                  <wp:docPr id="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85216" cy="585216"/>
                          </a:xfrm>
                          <a:prstGeom prst="rect"/>
                          <a:ln/>
                        </pic:spPr>
                      </pic:pic>
                    </a:graphicData>
                  </a:graphic>
                </wp:inline>
              </w:drawing>
            </w:r>
            <w:r w:rsidDel="00000000" w:rsidR="00000000" w:rsidRPr="00000000">
              <w:rPr>
                <w:rtl w:val="0"/>
              </w:rPr>
            </w:r>
          </w:p>
        </w:tc>
        <w:tc>
          <w:tcPr>
            <w:tcBorders>
              <w:top w:color="000000" w:space="0" w:sz="4" w:val="dotted"/>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jc w:val="center"/>
              <w:rPr/>
            </w:pPr>
            <w:r w:rsidDel="00000000" w:rsidR="00000000" w:rsidRPr="00000000">
              <w:rPr/>
              <w:drawing>
                <wp:inline distB="114300" distT="114300" distL="114300" distR="114300">
                  <wp:extent cx="585788" cy="585788"/>
                  <wp:effectExtent b="0" l="0" r="0" t="0"/>
                  <wp:docPr id="1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85788" cy="585788"/>
                          </a:xfrm>
                          <a:prstGeom prst="rect"/>
                          <a:ln/>
                        </pic:spPr>
                      </pic:pic>
                    </a:graphicData>
                  </a:graphic>
                </wp:inline>
              </w:drawing>
            </w:r>
            <w:r w:rsidDel="00000000" w:rsidR="00000000" w:rsidRPr="00000000">
              <w:rPr>
                <w:rtl w:val="0"/>
              </w:rPr>
            </w:r>
          </w:p>
        </w:tc>
      </w:tr>
      <w:tr>
        <w:trPr>
          <w:cantSplit w:val="0"/>
          <w:trHeight w:val="420" w:hRule="atLeast"/>
          <w:tblHeader w:val="0"/>
        </w:trPr>
        <w:tc>
          <w:tcPr>
            <w:vMerge w:val="continue"/>
            <w:tcBorders>
              <w:top w:color="000000" w:space="0" w:sz="4" w:val="dotted"/>
              <w:left w:color="000000" w:space="0" w:sz="0" w:val="nil"/>
              <w:bottom w:color="000000" w:space="0" w:sz="4" w:val="dotted"/>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77">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4" w:val="dotted"/>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jc w:val="center"/>
              <w:rPr/>
            </w:pPr>
            <w:r w:rsidDel="00000000" w:rsidR="00000000" w:rsidRPr="00000000">
              <w:rPr>
                <w:rtl w:val="0"/>
              </w:rPr>
              <w:t xml:space="preserve">jedan sat</w:t>
            </w:r>
          </w:p>
        </w:tc>
        <w:tc>
          <w:tcPr>
            <w:tcBorders>
              <w:top w:color="000000" w:space="0" w:sz="0" w:val="nil"/>
              <w:left w:color="000000" w:space="0" w:sz="0" w:val="nil"/>
              <w:bottom w:color="000000" w:space="0" w:sz="4" w:val="dotted"/>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jc w:val="center"/>
              <w:rPr/>
            </w:pPr>
            <w:r w:rsidDel="00000000" w:rsidR="00000000" w:rsidRPr="00000000">
              <w:rPr>
                <w:rtl w:val="0"/>
              </w:rPr>
              <w:t xml:space="preserve">dva sata</w:t>
            </w:r>
          </w:p>
        </w:tc>
        <w:tc>
          <w:tcPr>
            <w:tcBorders>
              <w:top w:color="000000" w:space="0" w:sz="0" w:val="nil"/>
              <w:left w:color="000000" w:space="0" w:sz="0" w:val="nil"/>
              <w:bottom w:color="000000" w:space="0" w:sz="4" w:val="dotted"/>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jc w:val="center"/>
              <w:rPr/>
            </w:pPr>
            <w:r w:rsidDel="00000000" w:rsidR="00000000" w:rsidRPr="00000000">
              <w:rPr>
                <w:rtl w:val="0"/>
              </w:rPr>
              <w:t xml:space="preserve">pet sati</w:t>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b w:val="1"/>
          <w:color w:val="ff0000"/>
          <w:rtl w:val="0"/>
        </w:rPr>
        <w:t xml:space="preserve">*</w:t>
      </w:r>
      <w:r w:rsidDel="00000000" w:rsidR="00000000" w:rsidRPr="00000000">
        <w:rPr>
          <w:rtl w:val="0"/>
        </w:rPr>
        <w:t xml:space="preserve"> There are other nouns that in Genitive plural end in -i, but you will learn them as you encounter them throughout the semester.</w:t>
      </w:r>
    </w:p>
    <w:p w:rsidR="00000000" w:rsidDel="00000000" w:rsidP="00000000" w:rsidRDefault="00000000" w:rsidRPr="00000000" w14:paraId="0000007D">
      <w:pPr>
        <w:pStyle w:val="Heading1"/>
        <w:spacing w:line="240" w:lineRule="auto"/>
        <w:rPr>
          <w:color w:val="dd26b6"/>
        </w:rPr>
      </w:pPr>
      <w:bookmarkStart w:colFirst="0" w:colLast="0" w:name="_e1ijrpnlusj7" w:id="9"/>
      <w:bookmarkEnd w:id="9"/>
      <w:r w:rsidDel="00000000" w:rsidR="00000000" w:rsidRPr="00000000">
        <w:rPr>
          <w:color w:val="dd26b6"/>
          <w:rtl w:val="0"/>
        </w:rPr>
        <w:t xml:space="preserve">8.2 Zadatak 3. Koliko?</w:t>
      </w:r>
    </w:p>
    <w:p w:rsidR="00000000" w:rsidDel="00000000" w:rsidP="00000000" w:rsidRDefault="00000000" w:rsidRPr="00000000" w14:paraId="0000007E">
      <w:pPr>
        <w:rPr/>
      </w:pPr>
      <w:r w:rsidDel="00000000" w:rsidR="00000000" w:rsidRPr="00000000">
        <w:rPr>
          <w:rtl w:val="0"/>
        </w:rPr>
        <w:t xml:space="preserve">You will hear a number of sentences giving a certain number. Listen to the start of the expression and pick the correct form of </w:t>
      </w:r>
      <w:r w:rsidDel="00000000" w:rsidR="00000000" w:rsidRPr="00000000">
        <w:rPr>
          <w:b w:val="1"/>
          <w:rtl w:val="0"/>
        </w:rPr>
        <w:t xml:space="preserve">cent–mjesec–sat</w:t>
      </w:r>
      <w:r w:rsidDel="00000000" w:rsidR="00000000" w:rsidRPr="00000000">
        <w:rPr>
          <w:rtl w:val="0"/>
        </w:rPr>
        <w:t xml:space="preserve"> that appropriately finishes the sentence.</w:t>
      </w:r>
    </w:p>
    <w:p w:rsidR="00000000" w:rsidDel="00000000" w:rsidP="00000000" w:rsidRDefault="00000000" w:rsidRPr="00000000" w14:paraId="0000007F">
      <w:pPr>
        <w:rPr/>
      </w:pPr>
      <w:r w:rsidDel="00000000" w:rsidR="00000000" w:rsidRPr="00000000">
        <w:rPr>
          <w:rtl w:val="0"/>
        </w:rPr>
        <w:t xml:space="preserve">[h5p id="821"]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Images used in this document are from </w:t>
      </w:r>
      <w:hyperlink r:id="rId21">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22" w:type="default"/>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rPr/>
    </w:pPr>
    <w:r w:rsidDel="00000000" w:rsidR="00000000" w:rsidRPr="00000000">
      <w:rPr/>
      <w:drawing>
        <wp:inline distB="114300" distT="114300" distL="114300" distR="114300">
          <wp:extent cx="941832" cy="329641"/>
          <wp:effectExtent b="0" l="0" r="0" t="0"/>
          <wp:docPr id="1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6" name="image11.png"/>
          <a:graphic>
            <a:graphicData uri="http://schemas.openxmlformats.org/drawingml/2006/picture">
              <pic:pic>
                <pic:nvPicPr>
                  <pic:cNvPr id="0" name="image11.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jc w:val="right"/>
      <w:rPr>
        <w:b w:val="1"/>
        <w:sz w:val="24"/>
        <w:szCs w:val="24"/>
      </w:rPr>
    </w:pPr>
    <w:r w:rsidDel="00000000" w:rsidR="00000000" w:rsidRPr="00000000">
      <w:rPr>
        <w:b w:val="1"/>
        <w:sz w:val="28"/>
        <w:szCs w:val="28"/>
        <w:rtl w:val="0"/>
      </w:rPr>
      <w:t xml:space="preserve">8 |</w:t>
    </w:r>
    <w:r w:rsidDel="00000000" w:rsidR="00000000" w:rsidRPr="00000000">
      <w:rPr>
        <w:b w:val="1"/>
        <w:sz w:val="24"/>
        <w:szCs w:val="24"/>
        <w:rtl w:val="0"/>
      </w:rPr>
      <w:t xml:space="preserve"> Modul 2: Gramatika</w:t>
    </w:r>
  </w:p>
  <w:p w:rsidR="00000000" w:rsidDel="00000000" w:rsidP="00000000" w:rsidRDefault="00000000" w:rsidRPr="00000000" w14:paraId="00000085">
    <w:pPr>
      <w:jc w:val="right"/>
      <w:rPr>
        <w:i w:val="1"/>
        <w:sz w:val="24"/>
        <w:szCs w:val="24"/>
      </w:rPr>
    </w:pPr>
    <w:r w:rsidDel="00000000" w:rsidR="00000000" w:rsidRPr="00000000">
      <w:rPr>
        <w:i w:val="1"/>
        <w:sz w:val="24"/>
        <w:szCs w:val="24"/>
        <w:rtl w:val="0"/>
      </w:rPr>
      <w:t xml:space="preserve">Internet kupnja</w:t>
    </w:r>
    <w:r w:rsidDel="00000000" w:rsidR="00000000" w:rsidRPr="00000000">
      <w:rPr>
        <w:rtl w:val="0"/>
      </w:rPr>
    </w:r>
  </w:p>
  <w:p w:rsidR="00000000" w:rsidDel="00000000" w:rsidP="00000000" w:rsidRDefault="00000000" w:rsidRPr="00000000" w14:paraId="00000086">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9.png"/><Relationship Id="rId22" Type="http://schemas.openxmlformats.org/officeDocument/2006/relationships/header" Target="header1.xml"/><Relationship Id="rId10" Type="http://schemas.openxmlformats.org/officeDocument/2006/relationships/hyperlink" Target="https://pixabay.com/photos/cent-euro-coin-currency-3153800/" TargetMode="External"/><Relationship Id="rId21" Type="http://schemas.openxmlformats.org/officeDocument/2006/relationships/hyperlink" Target="https://docs.google.com/document/d/1QNP_zlTJC5LpAvUZZC5aOptW6sFIUO_kBkTnu8s_MTM/edit#heading=h.ou6sok6ab3dc" TargetMode="External"/><Relationship Id="rId13" Type="http://schemas.openxmlformats.org/officeDocument/2006/relationships/image" Target="media/image6.png"/><Relationship Id="rId12" Type="http://schemas.openxmlformats.org/officeDocument/2006/relationships/hyperlink" Target="https://pixabay.com/photos/calendar-icons-calendar-icons-month-925109/"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8.png"/><Relationship Id="rId14" Type="http://schemas.openxmlformats.org/officeDocument/2006/relationships/hyperlink" Target="https://pixabay.com/photos/calendar-icons-calendar-icons-month-925109/" TargetMode="External"/><Relationship Id="rId17" Type="http://schemas.openxmlformats.org/officeDocument/2006/relationships/image" Target="media/image7.png"/><Relationship Id="rId16" Type="http://schemas.openxmlformats.org/officeDocument/2006/relationships/hyperlink" Target="https://pixabay.com/photos/calendar-icons-calendar-icons-month-925109/"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hyperlink" Target="https://pixabay.com/photos/cent-euro-euro-cent-coin-isolated-3152937/" TargetMode="External"/><Relationship Id="rId18" Type="http://schemas.openxmlformats.org/officeDocument/2006/relationships/image" Target="media/image3.png"/><Relationship Id="rId7" Type="http://schemas.openxmlformats.org/officeDocument/2006/relationships/image" Target="media/image10.png"/><Relationship Id="rId8" Type="http://schemas.openxmlformats.org/officeDocument/2006/relationships/hyperlink" Target="https://en.wikipedia.org/wiki/2_euro_cent_coin#/media/File:2_eurocent_common_1999.p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