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Petra a Rozálie: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Ve dvě. - Ve dvě?! - No ve škole ve dvě. - Aha, v půl jedný (jedné). Ty chodíš ve dvě?!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Většinou obědvám kolem jedné hodiny odpoledne.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kolem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(+GEN) - around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Obědvám ve dvanáct přesně.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přesně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precisely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Obědvám o půl dvanácté, jedenáct třicet.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